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30D41">
      <w:pPr>
        <w:autoSpaceDE w:val="0"/>
        <w:autoSpaceDN w:val="0"/>
        <w:adjustRightInd w:val="0"/>
        <w:spacing w:after="0" w:line="240" w:lineRule="auto"/>
        <w:jc w:val="center"/>
        <w:outlineLvl w:val="0"/>
        <w:rPr>
          <w:rFonts w:ascii="Times New Roman" w:hAnsi="Times New Roman"/>
          <w:sz w:val="24"/>
          <w:szCs w:val="24"/>
        </w:rPr>
      </w:pPr>
      <w:r>
        <w:rPr>
          <w:rFonts w:ascii="Times New Roman" w:hAnsi="Times New Roman"/>
          <w:sz w:val="24"/>
          <w:szCs w:val="24"/>
        </w:rPr>
        <w:t xml:space="preserve">                                                          Утверждено:</w:t>
      </w:r>
    </w:p>
    <w:p w14:paraId="23C7358F">
      <w:pPr>
        <w:autoSpaceDE w:val="0"/>
        <w:autoSpaceDN w:val="0"/>
        <w:adjustRightInd w:val="0"/>
        <w:spacing w:after="0" w:line="240" w:lineRule="auto"/>
        <w:jc w:val="right"/>
        <w:outlineLvl w:val="0"/>
        <w:rPr>
          <w:rFonts w:ascii="Times New Roman" w:hAnsi="Times New Roman"/>
          <w:sz w:val="24"/>
          <w:szCs w:val="24"/>
        </w:rPr>
      </w:pPr>
      <w:r>
        <w:rPr>
          <w:rFonts w:ascii="Times New Roman" w:hAnsi="Times New Roman"/>
          <w:sz w:val="24"/>
          <w:szCs w:val="24"/>
        </w:rPr>
        <w:t>Приказом директора МКУК «КДЦ</w:t>
      </w:r>
    </w:p>
    <w:p w14:paraId="2329E362">
      <w:pPr>
        <w:autoSpaceDE w:val="0"/>
        <w:autoSpaceDN w:val="0"/>
        <w:adjustRightInd w:val="0"/>
        <w:spacing w:after="0" w:line="240" w:lineRule="auto"/>
        <w:jc w:val="center"/>
        <w:outlineLvl w:val="0"/>
        <w:rPr>
          <w:rFonts w:ascii="Times New Roman" w:hAnsi="Times New Roman"/>
          <w:sz w:val="24"/>
          <w:szCs w:val="24"/>
        </w:rPr>
      </w:pPr>
      <w:r>
        <w:rPr>
          <w:rFonts w:ascii="Times New Roman" w:hAnsi="Times New Roman"/>
          <w:sz w:val="24"/>
          <w:szCs w:val="24"/>
        </w:rPr>
        <w:t xml:space="preserve">                                                                          Филипповского МО»   </w:t>
      </w:r>
    </w:p>
    <w:p w14:paraId="3FFCC0CA">
      <w:pPr>
        <w:autoSpaceDE w:val="0"/>
        <w:autoSpaceDN w:val="0"/>
        <w:adjustRightInd w:val="0"/>
        <w:spacing w:after="0" w:line="240" w:lineRule="auto"/>
        <w:jc w:val="center"/>
        <w:outlineLvl w:val="0"/>
        <w:rPr>
          <w:rFonts w:ascii="Times New Roman" w:hAnsi="Times New Roman"/>
          <w:sz w:val="24"/>
          <w:szCs w:val="24"/>
        </w:rPr>
      </w:pPr>
      <w:r>
        <w:rPr>
          <w:rFonts w:ascii="Times New Roman" w:hAnsi="Times New Roman"/>
          <w:sz w:val="24"/>
          <w:szCs w:val="24"/>
        </w:rPr>
        <w:t xml:space="preserve">                                                                                        От 08 декабря  2023 года № 47</w:t>
      </w:r>
    </w:p>
    <w:p w14:paraId="0E8D28F2">
      <w:pPr>
        <w:pStyle w:val="26"/>
        <w:widowControl/>
        <w:jc w:val="center"/>
        <w:rPr>
          <w:rFonts w:ascii="Times New Roman" w:hAnsi="Times New Roman" w:cs="Times New Roman"/>
          <w:sz w:val="24"/>
          <w:szCs w:val="24"/>
        </w:rPr>
      </w:pPr>
    </w:p>
    <w:p w14:paraId="7976F781">
      <w:pPr>
        <w:pStyle w:val="26"/>
        <w:widowControl/>
        <w:jc w:val="center"/>
        <w:rPr>
          <w:rFonts w:ascii="Times New Roman" w:hAnsi="Times New Roman" w:cs="Times New Roman"/>
          <w:sz w:val="24"/>
          <w:szCs w:val="24"/>
        </w:rPr>
      </w:pPr>
      <w:r>
        <w:rPr>
          <w:rFonts w:ascii="Times New Roman" w:hAnsi="Times New Roman" w:cs="Times New Roman"/>
          <w:sz w:val="24"/>
          <w:szCs w:val="24"/>
        </w:rPr>
        <w:t xml:space="preserve">  ПОЛОЖЕНИЕ</w:t>
      </w:r>
    </w:p>
    <w:p w14:paraId="61067BD4">
      <w:pPr>
        <w:pStyle w:val="26"/>
        <w:widowControl/>
        <w:jc w:val="center"/>
        <w:rPr>
          <w:rFonts w:ascii="Times New Roman" w:hAnsi="Times New Roman" w:cs="Times New Roman"/>
          <w:sz w:val="24"/>
          <w:szCs w:val="24"/>
        </w:rPr>
      </w:pPr>
      <w:r>
        <w:rPr>
          <w:rFonts w:ascii="Times New Roman" w:hAnsi="Times New Roman" w:cs="Times New Roman"/>
          <w:sz w:val="24"/>
          <w:szCs w:val="24"/>
        </w:rPr>
        <w:t>ОБ ОПЛАТЕ ТРУДА РАБОТНИКОВ МУНИЦИПАЛЬНОГО КАЗЕННОГО УЧРЕЖДЕНИЯ КУЛЬТУРЫ «КУЛЬТУРНО-ДОСУГОВЫЙ ЦЕНТР ФИЛИППОВСКОГО МУНИЦИПАЛЬНОГО ОБРАЗОВАНИЯ»</w:t>
      </w:r>
    </w:p>
    <w:p w14:paraId="4D05BB7F">
      <w:pPr>
        <w:pStyle w:val="9"/>
        <w:shd w:val="clear" w:color="auto" w:fill="auto"/>
        <w:spacing w:line="240" w:lineRule="auto"/>
        <w:ind w:left="2760"/>
        <w:jc w:val="left"/>
        <w:rPr>
          <w:b/>
          <w:sz w:val="24"/>
          <w:szCs w:val="24"/>
        </w:rPr>
      </w:pPr>
    </w:p>
    <w:p w14:paraId="0991294B">
      <w:pPr>
        <w:pStyle w:val="9"/>
        <w:shd w:val="clear" w:color="auto" w:fill="auto"/>
        <w:spacing w:line="240" w:lineRule="auto"/>
        <w:ind w:left="2760"/>
        <w:jc w:val="left"/>
        <w:rPr>
          <w:b/>
          <w:sz w:val="24"/>
          <w:szCs w:val="24"/>
        </w:rPr>
      </w:pPr>
      <w:r>
        <w:rPr>
          <w:b/>
          <w:sz w:val="24"/>
          <w:szCs w:val="24"/>
        </w:rPr>
        <w:t>Глава 1. ОБЩИЕ ПОЛОЖЕНИЯ</w:t>
      </w:r>
    </w:p>
    <w:p w14:paraId="645003D0">
      <w:pPr>
        <w:pStyle w:val="29"/>
        <w:ind w:firstLine="993"/>
        <w:jc w:val="both"/>
        <w:rPr>
          <w:sz w:val="24"/>
          <w:szCs w:val="24"/>
        </w:rPr>
      </w:pPr>
      <w:r>
        <w:rPr>
          <w:sz w:val="24"/>
          <w:szCs w:val="24"/>
        </w:rPr>
        <w:t xml:space="preserve">1.1. Настоящее    Положение об оплате труда работников муниципального казенного учреждения культуры «Культурно-досуговый центр Филипповского муниципального образования» (далее - Положение) разработано в соответствии со статьей 144 Трудового кодекса Российской Федерации, постановлением Администрации Филипповского муниципального образования от 08.12.2023  года № 79 «Об утверждении Примерного положения об оплате труда работников учреждений культуры Филипповского муниципального образования Зиминского района определяет систему оплаты труда работников муниципального казенного учреждения культуры «Культурно-досуговый центр Филипповского муниципального образования» (далее МКУК «КДЦ Филипповского МО). </w:t>
      </w:r>
    </w:p>
    <w:p w14:paraId="5435B81D">
      <w:pPr>
        <w:pStyle w:val="9"/>
        <w:shd w:val="clear" w:color="auto" w:fill="auto"/>
        <w:tabs>
          <w:tab w:val="left" w:pos="836"/>
          <w:tab w:val="left" w:pos="994"/>
        </w:tabs>
        <w:spacing w:line="240" w:lineRule="auto"/>
        <w:ind w:right="40" w:firstLine="851"/>
        <w:jc w:val="both"/>
        <w:rPr>
          <w:sz w:val="24"/>
          <w:szCs w:val="24"/>
        </w:rPr>
      </w:pPr>
      <w:r>
        <w:rPr>
          <w:sz w:val="24"/>
          <w:szCs w:val="24"/>
        </w:rPr>
        <w:t>1.2. В целях применения настоящего Положения используются следующие термины:</w:t>
      </w:r>
    </w:p>
    <w:p w14:paraId="573CD136">
      <w:pPr>
        <w:pStyle w:val="9"/>
        <w:shd w:val="clear" w:color="auto" w:fill="auto"/>
        <w:spacing w:line="240" w:lineRule="auto"/>
        <w:ind w:left="20" w:right="40" w:firstLine="851"/>
        <w:jc w:val="both"/>
        <w:rPr>
          <w:sz w:val="24"/>
          <w:szCs w:val="24"/>
        </w:rPr>
      </w:pPr>
      <w:r>
        <w:rPr>
          <w:sz w:val="24"/>
          <w:szCs w:val="24"/>
        </w:rPr>
        <w:t>- локальные акты об оплате труда - локальные нормативные акты, устанавливающие систему оплаты труда работников МКУК «КДЦ Филипповского МО»;</w:t>
      </w:r>
    </w:p>
    <w:p w14:paraId="215D09A3">
      <w:pPr>
        <w:pStyle w:val="9"/>
        <w:shd w:val="clear" w:color="auto" w:fill="auto"/>
        <w:spacing w:line="240" w:lineRule="auto"/>
        <w:ind w:right="40" w:firstLine="851"/>
        <w:jc w:val="both"/>
        <w:rPr>
          <w:sz w:val="24"/>
          <w:szCs w:val="24"/>
        </w:rPr>
      </w:pPr>
      <w:r>
        <w:rPr>
          <w:sz w:val="24"/>
          <w:szCs w:val="24"/>
        </w:rPr>
        <w:t>- работники МКУК «КДЦ Филипповского МО»   - физические лица, с которыми руководитель МКУК «КДЦ Филипповского МО»  заключил трудовой договор</w:t>
      </w:r>
      <w:r>
        <w:rPr>
          <w:i/>
          <w:sz w:val="24"/>
          <w:szCs w:val="24"/>
        </w:rPr>
        <w:t xml:space="preserve">, </w:t>
      </w:r>
      <w:r>
        <w:rPr>
          <w:sz w:val="24"/>
          <w:szCs w:val="24"/>
        </w:rPr>
        <w:t>и руководитель МКУК «КДЦ Филипповского МО».</w:t>
      </w:r>
    </w:p>
    <w:p w14:paraId="6E855A0B">
      <w:pPr>
        <w:pStyle w:val="9"/>
        <w:shd w:val="clear" w:color="auto" w:fill="auto"/>
        <w:spacing w:line="240" w:lineRule="auto"/>
        <w:ind w:right="40" w:firstLine="851"/>
        <w:jc w:val="both"/>
        <w:rPr>
          <w:sz w:val="24"/>
          <w:szCs w:val="24"/>
        </w:rPr>
      </w:pPr>
      <w:r>
        <w:rPr>
          <w:sz w:val="24"/>
          <w:szCs w:val="24"/>
        </w:rPr>
        <w:t>На основании настоящего Положения МКУК «КДЦ Филипповского МО» принимает локальные акты об оплате труда  с учетом мнения выборного органа первичной профсоюзной организации, а при его отсутствии  - с учетом мнения представительного органа работников МКУК «КДЦ Филипповского МО»».</w:t>
      </w:r>
    </w:p>
    <w:p w14:paraId="01E3B05F">
      <w:pPr>
        <w:pStyle w:val="9"/>
        <w:shd w:val="clear" w:color="auto" w:fill="auto"/>
        <w:tabs>
          <w:tab w:val="left" w:pos="961"/>
        </w:tabs>
        <w:spacing w:line="240" w:lineRule="auto"/>
        <w:ind w:right="40" w:firstLine="851"/>
        <w:jc w:val="both"/>
        <w:rPr>
          <w:sz w:val="24"/>
          <w:szCs w:val="24"/>
        </w:rPr>
      </w:pPr>
      <w:r>
        <w:rPr>
          <w:sz w:val="24"/>
          <w:szCs w:val="24"/>
        </w:rPr>
        <w:t>1.3. Система оплаты труда работников МКУК «КДЦ Филипповского МО»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 и систему премирования.</w:t>
      </w:r>
    </w:p>
    <w:p w14:paraId="42BEF3D2">
      <w:pPr>
        <w:pStyle w:val="9"/>
        <w:shd w:val="clear" w:color="auto" w:fill="auto"/>
        <w:tabs>
          <w:tab w:val="left" w:pos="961"/>
        </w:tabs>
        <w:spacing w:line="240" w:lineRule="auto"/>
        <w:ind w:right="40" w:firstLine="851"/>
        <w:jc w:val="both"/>
        <w:rPr>
          <w:sz w:val="24"/>
          <w:szCs w:val="24"/>
        </w:rPr>
      </w:pPr>
      <w:r>
        <w:rPr>
          <w:sz w:val="24"/>
          <w:szCs w:val="24"/>
        </w:rPr>
        <w:t>Система оплаты труда работников МКУК «КДЦ Филипповского МО»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
    <w:p w14:paraId="0D683E5B">
      <w:pPr>
        <w:pStyle w:val="9"/>
        <w:shd w:val="clear" w:color="auto" w:fill="auto"/>
        <w:spacing w:line="240" w:lineRule="auto"/>
        <w:ind w:left="40" w:right="40" w:firstLine="851"/>
        <w:jc w:val="both"/>
        <w:rPr>
          <w:sz w:val="24"/>
          <w:szCs w:val="24"/>
        </w:rPr>
      </w:pPr>
      <w:r>
        <w:rPr>
          <w:sz w:val="24"/>
          <w:szCs w:val="24"/>
        </w:rPr>
        <w:t>Наименования должностей служащих (профессий рабочих), включаемых в штатное расписание МКУК «КДЦ Филипповского МО», 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14:paraId="29C3700D">
      <w:pPr>
        <w:pStyle w:val="9"/>
        <w:shd w:val="clear" w:color="auto" w:fill="auto"/>
        <w:spacing w:line="240" w:lineRule="auto"/>
        <w:ind w:left="40" w:right="40" w:firstLine="851"/>
        <w:jc w:val="both"/>
        <w:rPr>
          <w:sz w:val="24"/>
          <w:szCs w:val="24"/>
        </w:rPr>
      </w:pPr>
      <w:r>
        <w:rPr>
          <w:sz w:val="24"/>
          <w:szCs w:val="24"/>
        </w:rPr>
        <w:t>Заработная плата работника МКУК «КДЦ Филипповского МО»  - вознаграждение за труд в зависимости от квалификации работника МКУК «КДЦ Филипповского МО»,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14:paraId="21E87C55">
      <w:pPr>
        <w:pStyle w:val="9"/>
        <w:shd w:val="clear" w:color="auto" w:fill="auto"/>
        <w:spacing w:line="240" w:lineRule="auto"/>
        <w:ind w:left="40" w:right="40" w:firstLine="851"/>
        <w:jc w:val="both"/>
        <w:rPr>
          <w:sz w:val="24"/>
          <w:szCs w:val="24"/>
        </w:rPr>
      </w:pPr>
      <w:r>
        <w:rPr>
          <w:sz w:val="24"/>
          <w:szCs w:val="24"/>
        </w:rPr>
        <w:t>1.4. Минимальные размеры окладов (должностных окладов), ставок заработной платы работников МКУК «КДЦ Филипповского МО» устанавливаются в соответствии с Приложением 1 к настоящему Положению.</w:t>
      </w:r>
    </w:p>
    <w:p w14:paraId="20B738F3">
      <w:pPr>
        <w:pStyle w:val="9"/>
        <w:shd w:val="clear" w:color="auto" w:fill="auto"/>
        <w:spacing w:line="240" w:lineRule="auto"/>
        <w:ind w:left="40" w:right="40" w:firstLine="851"/>
        <w:jc w:val="both"/>
        <w:rPr>
          <w:sz w:val="24"/>
          <w:szCs w:val="24"/>
        </w:rPr>
      </w:pPr>
      <w:r>
        <w:rPr>
          <w:sz w:val="24"/>
          <w:szCs w:val="24"/>
        </w:rPr>
        <w:t>Размеры окладов (должностных окладов), ставок заработной платы работников учреждений, за исключением руководителей учреждений,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должности руководителя МКУК «КДЦ Филипповского МО», - в соответствии с положением об оплате труда работников МКУК «КДЦ Филипповского МО», с учетом сложности исполнения возложенных на работника трудовых (должностных) обязанностей.</w:t>
      </w:r>
    </w:p>
    <w:p w14:paraId="51ED14C9">
      <w:pPr>
        <w:pStyle w:val="9"/>
        <w:shd w:val="clear" w:color="auto" w:fill="auto"/>
        <w:tabs>
          <w:tab w:val="left" w:pos="976"/>
        </w:tabs>
        <w:spacing w:line="240" w:lineRule="auto"/>
        <w:ind w:right="40" w:firstLine="851"/>
        <w:jc w:val="both"/>
        <w:rPr>
          <w:sz w:val="24"/>
          <w:szCs w:val="24"/>
        </w:rPr>
      </w:pPr>
      <w:r>
        <w:rPr>
          <w:sz w:val="24"/>
          <w:szCs w:val="24"/>
        </w:rPr>
        <w:t>1.5. Трудовые договоры с работниками МКУК «КДЦ Филипповского МО», за исключением руководителя МКУК «КДЦ Филипповского МО», заключаются на основе примерной формы трудового договора с работником МКУК «КДЦ Филипповского МО», предусмотренной приложением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 ноября 2012 года № 2190-р.</w:t>
      </w:r>
    </w:p>
    <w:p w14:paraId="76F31FCB">
      <w:pPr>
        <w:pStyle w:val="9"/>
        <w:shd w:val="clear" w:color="auto" w:fill="auto"/>
        <w:spacing w:line="240" w:lineRule="auto"/>
        <w:ind w:right="40" w:firstLine="851"/>
        <w:jc w:val="both"/>
        <w:rPr>
          <w:sz w:val="24"/>
          <w:szCs w:val="24"/>
        </w:rPr>
      </w:pPr>
      <w:r>
        <w:rPr>
          <w:sz w:val="24"/>
          <w:szCs w:val="24"/>
        </w:rPr>
        <w:t>Трудовые договоры с руководителем МКУК «КДЦ Филипповского МО» заключаются на основе типовой формы трудового договора с руководителем государственного (муниципального) учреждения, утвержденной постановлением Правительства Российской Федерации от 12 апреля 2013 года № 329 «О типовой форме трудового договора с руководителем государственного (муниципального) учреждения»</w:t>
      </w:r>
    </w:p>
    <w:p w14:paraId="7EE0C7D3">
      <w:pPr>
        <w:pStyle w:val="9"/>
        <w:shd w:val="clear" w:color="auto" w:fill="auto"/>
        <w:tabs>
          <w:tab w:val="left" w:pos="895"/>
        </w:tabs>
        <w:spacing w:line="240" w:lineRule="auto"/>
        <w:ind w:right="60" w:firstLine="851"/>
        <w:jc w:val="both"/>
        <w:rPr>
          <w:sz w:val="24"/>
          <w:szCs w:val="24"/>
        </w:rPr>
      </w:pPr>
      <w:r>
        <w:rPr>
          <w:sz w:val="24"/>
          <w:szCs w:val="24"/>
        </w:rPr>
        <w:t>1.6. Виды компенсационных выплат работникам МКУК «КДЦ Филипповского МО»  определены главой 2 настоящего Положения.</w:t>
      </w:r>
    </w:p>
    <w:p w14:paraId="368C08BD">
      <w:pPr>
        <w:pStyle w:val="9"/>
        <w:shd w:val="clear" w:color="auto" w:fill="auto"/>
        <w:spacing w:line="240" w:lineRule="auto"/>
        <w:ind w:right="60" w:firstLine="851"/>
        <w:jc w:val="both"/>
        <w:rPr>
          <w:sz w:val="24"/>
          <w:szCs w:val="24"/>
        </w:rPr>
      </w:pPr>
      <w:r>
        <w:rPr>
          <w:sz w:val="24"/>
          <w:szCs w:val="24"/>
        </w:rPr>
        <w:t>1.7. 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14:paraId="78B8AD8A">
      <w:pPr>
        <w:pStyle w:val="9"/>
        <w:shd w:val="clear" w:color="auto" w:fill="auto"/>
        <w:spacing w:line="240" w:lineRule="auto"/>
        <w:ind w:right="60" w:firstLine="851"/>
        <w:jc w:val="both"/>
        <w:rPr>
          <w:sz w:val="24"/>
          <w:szCs w:val="24"/>
        </w:rPr>
      </w:pPr>
      <w:r>
        <w:rPr>
          <w:sz w:val="24"/>
          <w:szCs w:val="24"/>
        </w:rPr>
        <w:t>Условия и размеры выплат компенсационного характера работникам МКУК «КДЦ Филипповского МО», за исключением руководителя  МКУК «КДЦ Филипповского МО», определяются локальными актами об оплате труда в соответствии с федеральными законами, иными нормативными правовыми актами Российской Федерации, законами Иркутской области, иными нормативными правовыми актами Иркутской области.</w:t>
      </w:r>
    </w:p>
    <w:p w14:paraId="51711EA3">
      <w:pPr>
        <w:pStyle w:val="9"/>
        <w:shd w:val="clear" w:color="auto" w:fill="auto"/>
        <w:spacing w:line="240" w:lineRule="auto"/>
        <w:ind w:right="60" w:firstLine="851"/>
        <w:jc w:val="both"/>
        <w:rPr>
          <w:sz w:val="24"/>
          <w:szCs w:val="24"/>
        </w:rPr>
      </w:pPr>
      <w:r>
        <w:rPr>
          <w:sz w:val="24"/>
          <w:szCs w:val="24"/>
        </w:rPr>
        <w:t>Размеры компенсационных выплат работникам МКУК «КДЦ Филипповского МО»  определяются в процентах к окладам (должностным окладам), ставкам заработной платы или в абсолютных размерах.</w:t>
      </w:r>
    </w:p>
    <w:p w14:paraId="6D26901D">
      <w:pPr>
        <w:pStyle w:val="9"/>
        <w:shd w:val="clear" w:color="auto" w:fill="auto"/>
        <w:spacing w:line="240" w:lineRule="auto"/>
        <w:ind w:right="60" w:firstLine="851"/>
        <w:jc w:val="both"/>
        <w:rPr>
          <w:sz w:val="24"/>
          <w:szCs w:val="24"/>
        </w:rPr>
      </w:pPr>
      <w:r>
        <w:rPr>
          <w:sz w:val="24"/>
          <w:szCs w:val="24"/>
        </w:rPr>
        <w:t>1.8. Виды стимулирующих выплат работникам МКУК «КДЦ Филипповского МО», за исключением руководителя МКУК «КДЦ Филипповского МО», определены главой 3 настоящего Положения.</w:t>
      </w:r>
    </w:p>
    <w:p w14:paraId="32725773">
      <w:pPr>
        <w:pStyle w:val="9"/>
        <w:shd w:val="clear" w:color="auto" w:fill="auto"/>
        <w:spacing w:line="240" w:lineRule="auto"/>
        <w:ind w:right="60" w:firstLine="851"/>
        <w:jc w:val="both"/>
        <w:rPr>
          <w:sz w:val="24"/>
          <w:szCs w:val="24"/>
        </w:rPr>
      </w:pPr>
      <w:r>
        <w:rPr>
          <w:sz w:val="24"/>
          <w:szCs w:val="24"/>
        </w:rPr>
        <w:t xml:space="preserve">Размеры (минимальные размеры), порядок и условия установления выплат стимулирующего характера работникам МКУК «КДЦ Филипповского МО»  определяются настоящим Положением. </w:t>
      </w:r>
    </w:p>
    <w:p w14:paraId="2EBA573F">
      <w:pPr>
        <w:pStyle w:val="9"/>
        <w:shd w:val="clear" w:color="auto" w:fill="auto"/>
        <w:spacing w:line="240" w:lineRule="auto"/>
        <w:ind w:right="62" w:firstLine="851"/>
        <w:jc w:val="both"/>
        <w:rPr>
          <w:sz w:val="24"/>
          <w:szCs w:val="24"/>
        </w:rPr>
      </w:pPr>
      <w:r>
        <w:rPr>
          <w:sz w:val="24"/>
          <w:szCs w:val="24"/>
        </w:rPr>
        <w:t>1.9. Стимулирующие выплаты руководителю МКУК «КДЦ Филипповского МО»  определены главой 5 настоящего Положения.</w:t>
      </w:r>
    </w:p>
    <w:p w14:paraId="02FFB1EA">
      <w:pPr>
        <w:pStyle w:val="9"/>
        <w:shd w:val="clear" w:color="auto" w:fill="auto"/>
        <w:spacing w:line="240" w:lineRule="auto"/>
        <w:ind w:right="60" w:firstLine="851"/>
        <w:jc w:val="both"/>
        <w:rPr>
          <w:sz w:val="24"/>
          <w:szCs w:val="24"/>
        </w:rPr>
      </w:pPr>
      <w:r>
        <w:rPr>
          <w:sz w:val="24"/>
          <w:szCs w:val="24"/>
        </w:rPr>
        <w:t>Обязательные требования к порядку и условиям установления, размерам стимулирующих выплат работникам МКУК «КДЦ Филипповского МО» определяются настоящим Положением в соответствии с требованиями законодательства.</w:t>
      </w:r>
    </w:p>
    <w:p w14:paraId="43AFECE1">
      <w:pPr>
        <w:pStyle w:val="9"/>
        <w:shd w:val="clear" w:color="auto" w:fill="auto"/>
        <w:spacing w:line="240" w:lineRule="auto"/>
        <w:ind w:right="60" w:firstLine="851"/>
        <w:jc w:val="both"/>
        <w:rPr>
          <w:sz w:val="24"/>
          <w:szCs w:val="24"/>
        </w:rPr>
      </w:pPr>
      <w:r>
        <w:rPr>
          <w:sz w:val="24"/>
          <w:szCs w:val="24"/>
        </w:rPr>
        <w:t>Размеры, порядок и условия установления стимулирующих выплат работникам МКУК «КДЦ Филипповского МО», за исключением руководителя МКУК «КДЦ Филипповского МО», определяются локальными актами об оплате труда с учетом требований настоящего Положения.</w:t>
      </w:r>
    </w:p>
    <w:p w14:paraId="3AE14962">
      <w:pPr>
        <w:pStyle w:val="9"/>
        <w:shd w:val="clear" w:color="auto" w:fill="auto"/>
        <w:tabs>
          <w:tab w:val="left" w:pos="1404"/>
        </w:tabs>
        <w:spacing w:line="240" w:lineRule="auto"/>
        <w:ind w:right="62" w:firstLine="851"/>
        <w:jc w:val="both"/>
        <w:rPr>
          <w:sz w:val="24"/>
          <w:szCs w:val="24"/>
        </w:rPr>
      </w:pPr>
      <w:r>
        <w:rPr>
          <w:sz w:val="24"/>
          <w:szCs w:val="24"/>
        </w:rPr>
        <w:t>1.10. Стимулирующие выплаты руководителю МКУК «КДЦ Филипповского МО»    устанавливаются в виде премиальных выплат по итогам работы в процентах или в абсолютных размерах</w:t>
      </w:r>
      <w:r>
        <w:rPr>
          <w:color w:val="FF0000"/>
          <w:sz w:val="24"/>
          <w:szCs w:val="24"/>
        </w:rPr>
        <w:t xml:space="preserve"> </w:t>
      </w:r>
      <w:r>
        <w:rPr>
          <w:sz w:val="24"/>
          <w:szCs w:val="24"/>
        </w:rPr>
        <w:t>к должностному окладу.</w:t>
      </w:r>
    </w:p>
    <w:p w14:paraId="2408D70D">
      <w:pPr>
        <w:pStyle w:val="9"/>
        <w:shd w:val="clear" w:color="auto" w:fill="auto"/>
        <w:spacing w:line="240" w:lineRule="auto"/>
        <w:ind w:right="60" w:firstLine="851"/>
        <w:jc w:val="both"/>
        <w:rPr>
          <w:sz w:val="24"/>
          <w:szCs w:val="24"/>
        </w:rPr>
      </w:pPr>
      <w:r>
        <w:rPr>
          <w:sz w:val="24"/>
          <w:szCs w:val="24"/>
        </w:rPr>
        <w:t>Размеры, порядок и условия установления стимулирующих выплат руководителю МКУК «КДЦ Филипповского МО»    определяются Администрацией Филипповского муниципального образования  Зиминского района (далее - Учредитель) на основании утвержденных им показателей эффективности деятельности руководителя учреждения.</w:t>
      </w:r>
    </w:p>
    <w:p w14:paraId="3DFCC58A">
      <w:pPr>
        <w:pStyle w:val="9"/>
        <w:shd w:val="clear" w:color="auto" w:fill="auto"/>
        <w:tabs>
          <w:tab w:val="left" w:pos="1145"/>
        </w:tabs>
        <w:spacing w:line="240" w:lineRule="auto"/>
        <w:ind w:right="60" w:firstLine="851"/>
        <w:jc w:val="both"/>
        <w:rPr>
          <w:sz w:val="24"/>
          <w:szCs w:val="24"/>
        </w:rPr>
      </w:pPr>
      <w:r>
        <w:rPr>
          <w:sz w:val="24"/>
          <w:szCs w:val="24"/>
        </w:rPr>
        <w:t>1.11. Особенности оплаты труда отдельных категорий работников в соответствии с настоящим Положением включают в себя особенности определения должностных окладов работников, расчета заработной платы.</w:t>
      </w:r>
    </w:p>
    <w:p w14:paraId="7CA612FC">
      <w:pPr>
        <w:pStyle w:val="9"/>
        <w:shd w:val="clear" w:color="auto" w:fill="auto"/>
        <w:tabs>
          <w:tab w:val="left" w:pos="1145"/>
        </w:tabs>
        <w:spacing w:line="240" w:lineRule="auto"/>
        <w:ind w:right="60" w:firstLine="851"/>
        <w:jc w:val="both"/>
        <w:rPr>
          <w:sz w:val="24"/>
          <w:szCs w:val="24"/>
        </w:rPr>
      </w:pPr>
      <w:r>
        <w:rPr>
          <w:sz w:val="24"/>
          <w:szCs w:val="24"/>
        </w:rPr>
        <w:t>1.12. Размер месячной заработной платы работников МКУК «КДЦ Филипповского МО»  не может быть ниже минимального размера оплаты труда, установленного в соответствии с законодательством, а при наличии - в соответствии с региональным соглашением о минимальной заработной плате в Иркутской области при условии, что указанными работниками полностью отработана за этот период норма рабочего времени и выполнены нормы труда (трудовые обязанности).</w:t>
      </w:r>
    </w:p>
    <w:p w14:paraId="3BAB975C">
      <w:pPr>
        <w:pStyle w:val="9"/>
        <w:shd w:val="clear" w:color="auto" w:fill="auto"/>
        <w:tabs>
          <w:tab w:val="left" w:pos="1200"/>
        </w:tabs>
        <w:spacing w:line="240" w:lineRule="auto"/>
        <w:ind w:right="120" w:firstLine="851"/>
        <w:jc w:val="both"/>
        <w:rPr>
          <w:sz w:val="24"/>
          <w:szCs w:val="24"/>
        </w:rPr>
      </w:pPr>
      <w:r>
        <w:rPr>
          <w:sz w:val="24"/>
          <w:szCs w:val="24"/>
        </w:rPr>
        <w:t>1.13. Оплата труда работников МКУК «КДЦ Филипповского МО» производится в пределах бюджетных ассигнований, предусмотренных решением Думы   Филипповского муниципального образования  Зиминского района на очередной финансовый год.</w:t>
      </w:r>
    </w:p>
    <w:p w14:paraId="531FEC09">
      <w:pPr>
        <w:pStyle w:val="9"/>
        <w:shd w:val="clear" w:color="auto" w:fill="auto"/>
        <w:spacing w:line="240" w:lineRule="auto"/>
        <w:ind w:right="120" w:firstLine="851"/>
        <w:jc w:val="both"/>
        <w:rPr>
          <w:sz w:val="24"/>
          <w:szCs w:val="24"/>
        </w:rPr>
      </w:pPr>
      <w:r>
        <w:rPr>
          <w:sz w:val="24"/>
          <w:szCs w:val="24"/>
        </w:rPr>
        <w:t>1.14. В сфере культуры устанавливаются следующие, обязательные для соблюдения МКУК «КДЦ Филипповского МО», уровни соотношения заработной платы работников учреждения и руководителя учреждения:</w:t>
      </w:r>
    </w:p>
    <w:p w14:paraId="11771D58">
      <w:pPr>
        <w:pStyle w:val="9"/>
        <w:shd w:val="clear" w:color="auto" w:fill="auto"/>
        <w:spacing w:line="240" w:lineRule="auto"/>
        <w:ind w:right="120" w:firstLine="851"/>
        <w:jc w:val="both"/>
        <w:rPr>
          <w:sz w:val="24"/>
          <w:szCs w:val="24"/>
        </w:rPr>
      </w:pPr>
      <w:r>
        <w:rPr>
          <w:sz w:val="24"/>
          <w:szCs w:val="24"/>
        </w:rPr>
        <w:t xml:space="preserve">1) размер предельного уровня соотношения заработной платы руководителя МКУК «КДЦ Филипповского МО», формируемой за счет всех источников финансового обеспечения и рассчитываемой за календарный год, и среднемесячной заработной платы иных  работников муниципального казенного учреждения культуры «Культурно-досуговый центр Филипповского муниципального образования» (без учета заработной платы руководителя учреждения) устанавливается в кратности  от 1 до 5. </w:t>
      </w:r>
    </w:p>
    <w:p w14:paraId="57207AF6">
      <w:pPr>
        <w:pStyle w:val="29"/>
        <w:ind w:firstLine="709"/>
        <w:jc w:val="both"/>
        <w:rPr>
          <w:sz w:val="24"/>
          <w:szCs w:val="24"/>
        </w:rPr>
      </w:pPr>
      <w:r>
        <w:rPr>
          <w:sz w:val="24"/>
          <w:szCs w:val="24"/>
        </w:rPr>
        <w:t xml:space="preserve">Средняя заработная плата руководителя МКУК «КДЦ Филипповского МО» и средняя заработная плата иных работников МКУК «КДЦ Филипповского МО» определяется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 и представляется в в администрацию Филипповского муниципального образования в  установленном постановлением администрации Филипповского муниципального образования от 30.12.2016г  № 93 «Об установлении размера предельного уровня соотношения среднемесячной заработной платы и об утверждении Порядка размещения информации о среднемесячной заработной плате руководителей, их заместителей и главных бухгалтеров муниципальных учреждений и муниципальных унитарных предприятий Филипповского муниципального образования в информационно-телекоммуникационной сети «Интернет», представления указанными лицами данной информации», для дальнейшего размещения информации ответственным должностным лицом администрации на официальном сайте администрации Филипповского муниципального образования адрес </w:t>
      </w:r>
      <w:r>
        <w:fldChar w:fldCharType="begin"/>
      </w:r>
      <w:r>
        <w:instrText xml:space="preserve"> HYPERLINK "http://филипповск.рф/" </w:instrText>
      </w:r>
      <w:r>
        <w:fldChar w:fldCharType="separate"/>
      </w:r>
      <w:r>
        <w:rPr>
          <w:rStyle w:val="6"/>
          <w:sz w:val="24"/>
          <w:szCs w:val="24"/>
          <w:lang w:val="en-US"/>
        </w:rPr>
        <w:t>http</w:t>
      </w:r>
      <w:r>
        <w:rPr>
          <w:rStyle w:val="6"/>
          <w:sz w:val="24"/>
          <w:szCs w:val="24"/>
        </w:rPr>
        <w:t>://филипповск.рф/</w:t>
      </w:r>
      <w:r>
        <w:rPr>
          <w:rStyle w:val="6"/>
          <w:sz w:val="24"/>
          <w:szCs w:val="24"/>
        </w:rPr>
        <w:fldChar w:fldCharType="end"/>
      </w:r>
      <w:r>
        <w:rPr>
          <w:sz w:val="24"/>
          <w:szCs w:val="24"/>
        </w:rPr>
        <w:t xml:space="preserve"> </w:t>
      </w:r>
    </w:p>
    <w:p w14:paraId="073CDBE4">
      <w:pPr>
        <w:pStyle w:val="9"/>
        <w:spacing w:line="240" w:lineRule="auto"/>
        <w:ind w:right="60" w:firstLine="851"/>
        <w:jc w:val="both"/>
        <w:rPr>
          <w:sz w:val="24"/>
          <w:szCs w:val="24"/>
        </w:rPr>
      </w:pPr>
      <w:r>
        <w:rPr>
          <w:sz w:val="24"/>
          <w:szCs w:val="24"/>
        </w:rPr>
        <w:t xml:space="preserve"> 2) соотношение средней заработной платы работников основного и вспомогательного персонала учреждения, формируемой за счет всех источников финансового обеспечения и рассчитываемой за календарный год 1 к 0,7-0,5;</w:t>
      </w:r>
    </w:p>
    <w:p w14:paraId="0F5F64F4">
      <w:pPr>
        <w:pStyle w:val="9"/>
        <w:spacing w:line="240" w:lineRule="auto"/>
        <w:ind w:right="60" w:firstLine="851"/>
        <w:jc w:val="both"/>
        <w:rPr>
          <w:sz w:val="24"/>
          <w:szCs w:val="24"/>
        </w:rPr>
      </w:pPr>
      <w:r>
        <w:rPr>
          <w:sz w:val="24"/>
          <w:szCs w:val="24"/>
        </w:rPr>
        <w:t>3) предельная доля расходов на оплату труда в фонде оплаты труда учреждения работников административно-управленческого и вспомогательного персонала учреждений, формируемого за счет всех источников финансового обеспечения – не более 40 процентов.</w:t>
      </w:r>
    </w:p>
    <w:p w14:paraId="5769A98F">
      <w:pPr>
        <w:pStyle w:val="9"/>
        <w:shd w:val="clear" w:color="auto" w:fill="auto"/>
        <w:tabs>
          <w:tab w:val="left" w:pos="1054"/>
        </w:tabs>
        <w:spacing w:line="240" w:lineRule="auto"/>
        <w:ind w:right="60" w:firstLine="851"/>
        <w:jc w:val="both"/>
        <w:rPr>
          <w:sz w:val="24"/>
          <w:szCs w:val="24"/>
        </w:rPr>
      </w:pPr>
      <w:r>
        <w:rPr>
          <w:sz w:val="24"/>
          <w:szCs w:val="24"/>
        </w:rPr>
        <w:t>1.15. Заработная плата работников МКУК «КДЦ Филипповского МО»  (без учета стимулирующих выплат, за исключением стимулирующих выплат, установленных пунктами 3.5  и 3.7 настоящего Положения)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14:paraId="1BE24643">
      <w:pPr>
        <w:pStyle w:val="9"/>
        <w:shd w:val="clear" w:color="auto" w:fill="auto"/>
        <w:tabs>
          <w:tab w:val="left" w:pos="1117"/>
        </w:tabs>
        <w:spacing w:line="240" w:lineRule="auto"/>
        <w:ind w:right="60" w:firstLine="851"/>
        <w:jc w:val="both"/>
        <w:rPr>
          <w:sz w:val="24"/>
          <w:szCs w:val="24"/>
        </w:rPr>
      </w:pPr>
      <w:r>
        <w:rPr>
          <w:sz w:val="24"/>
          <w:szCs w:val="24"/>
        </w:rPr>
        <w:t>1.16. Заработная плата работникам МКУК «КДЦ Филипповского МО»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27и 12 числа каждого месяца.</w:t>
      </w:r>
    </w:p>
    <w:p w14:paraId="70C72CEC">
      <w:pPr>
        <w:pStyle w:val="9"/>
        <w:shd w:val="clear" w:color="auto" w:fill="auto"/>
        <w:tabs>
          <w:tab w:val="left" w:pos="1117"/>
        </w:tabs>
        <w:spacing w:line="240" w:lineRule="auto"/>
        <w:ind w:right="60"/>
        <w:jc w:val="both"/>
        <w:rPr>
          <w:sz w:val="24"/>
          <w:szCs w:val="24"/>
        </w:rPr>
      </w:pPr>
    </w:p>
    <w:p w14:paraId="6572F999">
      <w:pPr>
        <w:pStyle w:val="9"/>
        <w:shd w:val="clear" w:color="auto" w:fill="auto"/>
        <w:tabs>
          <w:tab w:val="left" w:pos="1117"/>
        </w:tabs>
        <w:spacing w:line="240" w:lineRule="auto"/>
        <w:ind w:right="60" w:firstLine="851"/>
        <w:jc w:val="both"/>
        <w:rPr>
          <w:sz w:val="24"/>
          <w:szCs w:val="24"/>
        </w:rPr>
      </w:pPr>
    </w:p>
    <w:p w14:paraId="444CD79C">
      <w:pPr>
        <w:pStyle w:val="9"/>
        <w:shd w:val="clear" w:color="auto" w:fill="auto"/>
        <w:spacing w:line="240" w:lineRule="auto"/>
        <w:rPr>
          <w:b/>
          <w:sz w:val="24"/>
          <w:szCs w:val="24"/>
        </w:rPr>
      </w:pPr>
      <w:r>
        <w:rPr>
          <w:b/>
          <w:sz w:val="24"/>
          <w:szCs w:val="24"/>
        </w:rPr>
        <w:t>Глава 2. КОМПЕНСАЦИОННЫЕ ВЫПЛАТЫ</w:t>
      </w:r>
    </w:p>
    <w:p w14:paraId="72A0A14F">
      <w:pPr>
        <w:pStyle w:val="9"/>
        <w:shd w:val="clear" w:color="auto" w:fill="auto"/>
        <w:tabs>
          <w:tab w:val="left" w:pos="1270"/>
        </w:tabs>
        <w:spacing w:line="240" w:lineRule="auto"/>
        <w:ind w:right="62" w:firstLine="851"/>
        <w:jc w:val="both"/>
        <w:rPr>
          <w:sz w:val="24"/>
          <w:szCs w:val="24"/>
        </w:rPr>
      </w:pPr>
      <w:r>
        <w:rPr>
          <w:sz w:val="24"/>
          <w:szCs w:val="24"/>
        </w:rPr>
        <w:t>2.1. Работникам МКУК «КДЦ Филипповского МО» устанавливаются следующие виды компенсационных выплат:</w:t>
      </w:r>
    </w:p>
    <w:p w14:paraId="3B42BB47">
      <w:pPr>
        <w:pStyle w:val="9"/>
        <w:shd w:val="clear" w:color="auto" w:fill="auto"/>
        <w:tabs>
          <w:tab w:val="left" w:pos="1270"/>
        </w:tabs>
        <w:spacing w:line="240" w:lineRule="auto"/>
        <w:ind w:right="62" w:firstLine="851"/>
        <w:jc w:val="both"/>
        <w:rPr>
          <w:sz w:val="24"/>
          <w:szCs w:val="24"/>
        </w:rPr>
      </w:pPr>
      <w:r>
        <w:rPr>
          <w:sz w:val="24"/>
          <w:szCs w:val="24"/>
        </w:rPr>
        <w:t>1) выплаты работникам учреждения, занятым на работах с вредными и (или) опасными условиями труда;</w:t>
      </w:r>
    </w:p>
    <w:p w14:paraId="628490E9">
      <w:pPr>
        <w:pStyle w:val="9"/>
        <w:shd w:val="clear" w:color="auto" w:fill="auto"/>
        <w:tabs>
          <w:tab w:val="left" w:pos="1078"/>
        </w:tabs>
        <w:spacing w:line="240" w:lineRule="auto"/>
        <w:ind w:right="62" w:firstLine="851"/>
        <w:jc w:val="both"/>
        <w:rPr>
          <w:sz w:val="24"/>
          <w:szCs w:val="24"/>
        </w:rPr>
      </w:pPr>
      <w:r>
        <w:rPr>
          <w:sz w:val="24"/>
          <w:szCs w:val="24"/>
        </w:rPr>
        <w:t>2) выплаты за работу в местностях с особыми климатическими условиями;</w:t>
      </w:r>
    </w:p>
    <w:p w14:paraId="6042EC82">
      <w:pPr>
        <w:pStyle w:val="9"/>
        <w:shd w:val="clear" w:color="auto" w:fill="auto"/>
        <w:tabs>
          <w:tab w:val="left" w:pos="973"/>
        </w:tabs>
        <w:spacing w:line="240" w:lineRule="auto"/>
        <w:ind w:right="62" w:firstLine="851"/>
        <w:jc w:val="both"/>
        <w:rPr>
          <w:sz w:val="24"/>
          <w:szCs w:val="24"/>
        </w:rPr>
      </w:pPr>
      <w:r>
        <w:rPr>
          <w:sz w:val="24"/>
          <w:szCs w:val="24"/>
        </w:rPr>
        <w:t>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14:paraId="135938C8">
      <w:pPr>
        <w:pStyle w:val="9"/>
        <w:shd w:val="clear" w:color="auto" w:fill="auto"/>
        <w:spacing w:line="240" w:lineRule="auto"/>
        <w:ind w:right="62" w:firstLine="851"/>
        <w:jc w:val="both"/>
        <w:rPr>
          <w:sz w:val="24"/>
          <w:szCs w:val="24"/>
        </w:rPr>
      </w:pPr>
      <w:r>
        <w:rPr>
          <w:sz w:val="24"/>
          <w:szCs w:val="24"/>
        </w:rPr>
        <w:t>4) надбавка за работу в сельской местности.</w:t>
      </w:r>
    </w:p>
    <w:p w14:paraId="3731BBE1">
      <w:pPr>
        <w:pStyle w:val="9"/>
        <w:shd w:val="clear" w:color="auto" w:fill="auto"/>
        <w:spacing w:line="240" w:lineRule="auto"/>
        <w:ind w:right="62" w:firstLine="851"/>
        <w:jc w:val="both"/>
        <w:rPr>
          <w:sz w:val="24"/>
          <w:szCs w:val="24"/>
        </w:rPr>
      </w:pPr>
      <w:r>
        <w:rPr>
          <w:sz w:val="24"/>
          <w:szCs w:val="24"/>
        </w:rPr>
        <w:t>2.2. Локальными актами об оплате труда, трудовыми договорами работникам муниципального МКУК «КДЦ Филипповского МО»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p>
    <w:p w14:paraId="4444118C">
      <w:pPr>
        <w:pStyle w:val="9"/>
        <w:shd w:val="clear" w:color="auto" w:fill="auto"/>
        <w:spacing w:line="240" w:lineRule="auto"/>
        <w:ind w:right="62" w:firstLine="851"/>
        <w:jc w:val="both"/>
        <w:rPr>
          <w:sz w:val="24"/>
          <w:szCs w:val="24"/>
        </w:rPr>
      </w:pPr>
      <w:r>
        <w:rPr>
          <w:sz w:val="24"/>
          <w:szCs w:val="24"/>
        </w:rPr>
        <w:t>1) выплаты работникам учреждения, занятым на работах с вредными и (или) опасными условиями труда, устанавливаемые по результатам проведенной специальной оценке условий труда в порядке, установленном законодательством;</w:t>
      </w:r>
    </w:p>
    <w:p w14:paraId="3C00716F">
      <w:pPr>
        <w:pStyle w:val="9"/>
        <w:shd w:val="clear" w:color="auto" w:fill="auto"/>
        <w:tabs>
          <w:tab w:val="left" w:pos="1068"/>
        </w:tabs>
        <w:spacing w:line="240" w:lineRule="auto"/>
        <w:ind w:right="62" w:firstLine="851"/>
        <w:jc w:val="both"/>
        <w:rPr>
          <w:sz w:val="24"/>
          <w:szCs w:val="24"/>
        </w:rPr>
      </w:pPr>
      <w:r>
        <w:rPr>
          <w:sz w:val="24"/>
          <w:szCs w:val="24"/>
        </w:rPr>
        <w:t>2) выплаты за работу в местностях с особыми климатическими условиями:</w:t>
      </w:r>
    </w:p>
    <w:p w14:paraId="7D58FAD4">
      <w:pPr>
        <w:pStyle w:val="9"/>
        <w:shd w:val="clear" w:color="auto" w:fill="auto"/>
        <w:spacing w:line="240" w:lineRule="auto"/>
        <w:ind w:left="60" w:right="62" w:firstLine="851"/>
        <w:jc w:val="both"/>
        <w:rPr>
          <w:sz w:val="24"/>
          <w:szCs w:val="24"/>
        </w:rPr>
      </w:pPr>
      <w:r>
        <w:rPr>
          <w:sz w:val="24"/>
          <w:szCs w:val="24"/>
        </w:rPr>
        <w:t>районный коэффициент и процентная надбавка к заработной плате за работу в районах Крайнего Севера и приравненных к ним местностям, в южных районах Иркутской области в соответствии со статьей 148 Трудового кодекса Российской Федерации;</w:t>
      </w:r>
    </w:p>
    <w:p w14:paraId="15024A37">
      <w:pPr>
        <w:pStyle w:val="9"/>
        <w:shd w:val="clear" w:color="auto" w:fill="auto"/>
        <w:tabs>
          <w:tab w:val="left" w:pos="943"/>
        </w:tabs>
        <w:spacing w:line="240" w:lineRule="auto"/>
        <w:ind w:right="62" w:firstLine="851"/>
        <w:jc w:val="both"/>
        <w:rPr>
          <w:sz w:val="24"/>
          <w:szCs w:val="24"/>
        </w:rPr>
      </w:pPr>
      <w:r>
        <w:rPr>
          <w:sz w:val="24"/>
          <w:szCs w:val="24"/>
        </w:rPr>
        <w:t>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14:paraId="6E21F87E">
      <w:pPr>
        <w:pStyle w:val="9"/>
        <w:shd w:val="clear" w:color="auto" w:fill="auto"/>
        <w:spacing w:line="240" w:lineRule="auto"/>
        <w:ind w:right="62" w:firstLine="851"/>
        <w:jc w:val="both"/>
        <w:rPr>
          <w:sz w:val="24"/>
          <w:szCs w:val="24"/>
        </w:rPr>
      </w:pPr>
      <w:r>
        <w:rPr>
          <w:sz w:val="24"/>
          <w:szCs w:val="24"/>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14:paraId="28F7C936">
      <w:pPr>
        <w:pStyle w:val="9"/>
        <w:shd w:val="clear" w:color="auto" w:fill="auto"/>
        <w:spacing w:line="240" w:lineRule="auto"/>
        <w:ind w:right="62" w:firstLine="851"/>
        <w:jc w:val="both"/>
        <w:rPr>
          <w:sz w:val="24"/>
          <w:szCs w:val="24"/>
        </w:rPr>
      </w:pPr>
      <w:r>
        <w:rPr>
          <w:sz w:val="24"/>
          <w:szCs w:val="24"/>
        </w:rPr>
        <w:t>-за работу в ночное время;</w:t>
      </w:r>
    </w:p>
    <w:p w14:paraId="3609E43B">
      <w:pPr>
        <w:pStyle w:val="9"/>
        <w:shd w:val="clear" w:color="auto" w:fill="auto"/>
        <w:spacing w:line="240" w:lineRule="auto"/>
        <w:ind w:right="62" w:firstLine="851"/>
        <w:jc w:val="both"/>
        <w:rPr>
          <w:sz w:val="24"/>
          <w:szCs w:val="24"/>
        </w:rPr>
      </w:pPr>
      <w:r>
        <w:rPr>
          <w:sz w:val="24"/>
          <w:szCs w:val="24"/>
        </w:rPr>
        <w:t>-за сверхурочную работу;</w:t>
      </w:r>
    </w:p>
    <w:p w14:paraId="3707D4E3">
      <w:pPr>
        <w:pStyle w:val="9"/>
        <w:shd w:val="clear" w:color="auto" w:fill="auto"/>
        <w:spacing w:line="240" w:lineRule="auto"/>
        <w:ind w:right="62" w:firstLine="851"/>
        <w:jc w:val="both"/>
        <w:rPr>
          <w:sz w:val="24"/>
          <w:szCs w:val="24"/>
        </w:rPr>
      </w:pPr>
      <w:r>
        <w:rPr>
          <w:sz w:val="24"/>
          <w:szCs w:val="24"/>
        </w:rPr>
        <w:t>-за работу в выходные и нерабочие праздничные дни;</w:t>
      </w:r>
    </w:p>
    <w:p w14:paraId="2F117408">
      <w:pPr>
        <w:pStyle w:val="9"/>
        <w:shd w:val="clear" w:color="auto" w:fill="auto"/>
        <w:spacing w:line="240" w:lineRule="auto"/>
        <w:ind w:right="62" w:firstLine="851"/>
        <w:jc w:val="both"/>
        <w:rPr>
          <w:sz w:val="24"/>
          <w:szCs w:val="24"/>
        </w:rPr>
      </w:pPr>
      <w:r>
        <w:rPr>
          <w:sz w:val="24"/>
          <w:szCs w:val="24"/>
        </w:rPr>
        <w:t>-при выполнении работ в других условиях, отклоняющихся от нормальных.</w:t>
      </w:r>
    </w:p>
    <w:p w14:paraId="088D51CD">
      <w:pPr>
        <w:pStyle w:val="9"/>
        <w:shd w:val="clear" w:color="auto" w:fill="auto"/>
        <w:tabs>
          <w:tab w:val="left" w:pos="893"/>
        </w:tabs>
        <w:spacing w:line="240" w:lineRule="auto"/>
        <w:ind w:right="62" w:firstLine="851"/>
        <w:jc w:val="both"/>
        <w:rPr>
          <w:sz w:val="24"/>
          <w:szCs w:val="24"/>
        </w:rPr>
      </w:pPr>
      <w:r>
        <w:rPr>
          <w:sz w:val="24"/>
          <w:szCs w:val="24"/>
        </w:rPr>
        <w:t>4) за работу в сельской местности:</w:t>
      </w:r>
    </w:p>
    <w:p w14:paraId="47304586">
      <w:pPr>
        <w:pStyle w:val="9"/>
        <w:shd w:val="clear" w:color="auto" w:fill="auto"/>
        <w:spacing w:line="240" w:lineRule="auto"/>
        <w:ind w:right="62" w:firstLine="851"/>
        <w:jc w:val="both"/>
        <w:rPr>
          <w:sz w:val="24"/>
          <w:szCs w:val="24"/>
        </w:rPr>
      </w:pPr>
      <w:r>
        <w:rPr>
          <w:sz w:val="24"/>
          <w:szCs w:val="24"/>
        </w:rPr>
        <w:t>за работу в учреждении, расположенном в сельском населенном пункте.</w:t>
      </w:r>
    </w:p>
    <w:p w14:paraId="2D0E5319">
      <w:pPr>
        <w:pStyle w:val="9"/>
        <w:shd w:val="clear" w:color="auto" w:fill="auto"/>
        <w:tabs>
          <w:tab w:val="left" w:pos="1087"/>
        </w:tabs>
        <w:spacing w:line="240" w:lineRule="auto"/>
        <w:ind w:right="62" w:firstLine="851"/>
        <w:jc w:val="both"/>
        <w:rPr>
          <w:sz w:val="24"/>
          <w:szCs w:val="24"/>
        </w:rPr>
      </w:pPr>
      <w:r>
        <w:rPr>
          <w:sz w:val="24"/>
          <w:szCs w:val="24"/>
        </w:rPr>
        <w:t>2.3. Размеры компенсационных выплат работникам МКУК «КДЦ Филипповского МО»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2.2 настоящего Положения.</w:t>
      </w:r>
    </w:p>
    <w:p w14:paraId="4CB8E430">
      <w:pPr>
        <w:pStyle w:val="9"/>
        <w:shd w:val="clear" w:color="auto" w:fill="auto"/>
        <w:tabs>
          <w:tab w:val="left" w:pos="1087"/>
        </w:tabs>
        <w:spacing w:line="240" w:lineRule="auto"/>
        <w:ind w:right="62" w:firstLine="851"/>
        <w:jc w:val="both"/>
        <w:rPr>
          <w:sz w:val="24"/>
          <w:szCs w:val="24"/>
        </w:rPr>
      </w:pPr>
      <w:r>
        <w:rPr>
          <w:sz w:val="24"/>
          <w:szCs w:val="24"/>
        </w:rPr>
        <w:t>2.4. Компенсационная выплата работникам, занятым  на работах с вредными и (или) опасными условиями труда производится на условиях и в порядке, установленном статьей 147 Трудового кодекса Российской Федерации.</w:t>
      </w:r>
    </w:p>
    <w:p w14:paraId="49A6466E">
      <w:pPr>
        <w:pStyle w:val="9"/>
        <w:shd w:val="clear" w:color="auto" w:fill="auto"/>
        <w:tabs>
          <w:tab w:val="left" w:pos="1025"/>
        </w:tabs>
        <w:spacing w:line="240" w:lineRule="auto"/>
        <w:ind w:right="62" w:firstLine="851"/>
        <w:jc w:val="both"/>
        <w:rPr>
          <w:sz w:val="24"/>
          <w:szCs w:val="24"/>
        </w:rPr>
      </w:pPr>
      <w:r>
        <w:rPr>
          <w:sz w:val="24"/>
          <w:szCs w:val="24"/>
        </w:rPr>
        <w:t>2.5.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14:paraId="472B2509">
      <w:pPr>
        <w:pStyle w:val="9"/>
        <w:shd w:val="clear" w:color="auto" w:fill="auto"/>
        <w:tabs>
          <w:tab w:val="left" w:pos="1039"/>
        </w:tabs>
        <w:spacing w:line="240" w:lineRule="auto"/>
        <w:ind w:right="62" w:firstLine="851"/>
        <w:jc w:val="both"/>
        <w:rPr>
          <w:sz w:val="24"/>
          <w:szCs w:val="24"/>
        </w:rPr>
      </w:pPr>
      <w:r>
        <w:rPr>
          <w:sz w:val="24"/>
          <w:szCs w:val="24"/>
        </w:rPr>
        <w:t>2.6.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14:paraId="20ACF4EC">
      <w:pPr>
        <w:pStyle w:val="9"/>
        <w:shd w:val="clear" w:color="auto" w:fill="auto"/>
        <w:spacing w:line="240" w:lineRule="auto"/>
        <w:ind w:right="62" w:firstLine="851"/>
        <w:jc w:val="both"/>
        <w:rPr>
          <w:sz w:val="24"/>
          <w:szCs w:val="24"/>
        </w:rPr>
      </w:pPr>
      <w:r>
        <w:rPr>
          <w:sz w:val="24"/>
          <w:szCs w:val="24"/>
        </w:rPr>
        <w:t>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14:paraId="38EBB8B8">
      <w:pPr>
        <w:pStyle w:val="9"/>
        <w:shd w:val="clear" w:color="auto" w:fill="auto"/>
        <w:tabs>
          <w:tab w:val="left" w:pos="1126"/>
        </w:tabs>
        <w:spacing w:line="240" w:lineRule="auto"/>
        <w:ind w:right="62" w:firstLine="851"/>
        <w:jc w:val="both"/>
        <w:rPr>
          <w:sz w:val="24"/>
          <w:szCs w:val="24"/>
        </w:rPr>
      </w:pPr>
      <w:r>
        <w:rPr>
          <w:sz w:val="24"/>
          <w:szCs w:val="24"/>
        </w:rPr>
        <w:t>2.7. Выплата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14:paraId="0451146F">
      <w:pPr>
        <w:pStyle w:val="9"/>
        <w:shd w:val="clear" w:color="auto" w:fill="auto"/>
        <w:tabs>
          <w:tab w:val="left" w:pos="1126"/>
        </w:tabs>
        <w:spacing w:line="240" w:lineRule="auto"/>
        <w:ind w:right="62" w:firstLine="851"/>
        <w:jc w:val="both"/>
        <w:rPr>
          <w:sz w:val="24"/>
          <w:szCs w:val="24"/>
        </w:rPr>
      </w:pPr>
      <w:r>
        <w:rPr>
          <w:sz w:val="24"/>
          <w:szCs w:val="24"/>
        </w:rPr>
        <w:t>2.8. Компенсационная выплата за работу в ночное время устанавливается работникам на условиях и в порядке, предусмотренных статьей 96 Трудового кодекса Российской Федерации.</w:t>
      </w:r>
    </w:p>
    <w:p w14:paraId="3C9D0EFD">
      <w:pPr>
        <w:pStyle w:val="9"/>
        <w:shd w:val="clear" w:color="auto" w:fill="auto"/>
        <w:spacing w:line="240" w:lineRule="auto"/>
        <w:ind w:right="62" w:firstLine="851"/>
        <w:jc w:val="both"/>
        <w:rPr>
          <w:sz w:val="24"/>
          <w:szCs w:val="24"/>
        </w:rPr>
      </w:pPr>
      <w:r>
        <w:rPr>
          <w:sz w:val="24"/>
          <w:szCs w:val="24"/>
        </w:rPr>
        <w:t>Размер выплаты определяется в соответствии со статьей 154 Трудового кодекса Российской Федерации.</w:t>
      </w:r>
    </w:p>
    <w:p w14:paraId="052875D8">
      <w:pPr>
        <w:pStyle w:val="9"/>
        <w:shd w:val="clear" w:color="auto" w:fill="auto"/>
        <w:tabs>
          <w:tab w:val="left" w:pos="1039"/>
        </w:tabs>
        <w:spacing w:line="240" w:lineRule="auto"/>
        <w:ind w:right="62" w:firstLine="851"/>
        <w:jc w:val="both"/>
        <w:rPr>
          <w:sz w:val="24"/>
          <w:szCs w:val="24"/>
        </w:rPr>
      </w:pPr>
      <w:r>
        <w:rPr>
          <w:sz w:val="24"/>
          <w:szCs w:val="24"/>
        </w:rPr>
        <w:t>2.9.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14:paraId="28FF15A5">
      <w:pPr>
        <w:pStyle w:val="9"/>
        <w:shd w:val="clear" w:color="auto" w:fill="auto"/>
        <w:tabs>
          <w:tab w:val="left" w:pos="1145"/>
        </w:tabs>
        <w:spacing w:line="240" w:lineRule="auto"/>
        <w:ind w:right="62" w:firstLine="851"/>
        <w:jc w:val="both"/>
        <w:rPr>
          <w:sz w:val="24"/>
          <w:szCs w:val="24"/>
        </w:rPr>
      </w:pPr>
      <w:r>
        <w:rPr>
          <w:sz w:val="24"/>
          <w:szCs w:val="24"/>
        </w:rPr>
        <w:t>2.10. Компенсационная выплата за работу в выходные и нерабочие праздничные дни устанавливается работникам на условиях и в порядке, установленных статьями 113, 153 Трудового кодекса Российской Федерации.</w:t>
      </w:r>
    </w:p>
    <w:p w14:paraId="5D0954DE">
      <w:pPr>
        <w:pStyle w:val="9"/>
        <w:shd w:val="clear" w:color="auto" w:fill="auto"/>
        <w:tabs>
          <w:tab w:val="left" w:pos="1183"/>
        </w:tabs>
        <w:spacing w:after="341" w:line="240" w:lineRule="auto"/>
        <w:ind w:right="62" w:firstLine="851"/>
        <w:jc w:val="both"/>
        <w:rPr>
          <w:sz w:val="24"/>
          <w:szCs w:val="24"/>
        </w:rPr>
      </w:pPr>
      <w:r>
        <w:rPr>
          <w:sz w:val="24"/>
          <w:szCs w:val="24"/>
        </w:rPr>
        <w:t>2.11. Компенсационная надбавка за работу в учреждениях расположенных в сельской местности, устанавливается в размере 25 процентов оклада (должностного оклада), ставки заработной платы.</w:t>
      </w:r>
    </w:p>
    <w:p w14:paraId="5EF43120">
      <w:pPr>
        <w:pStyle w:val="9"/>
        <w:shd w:val="clear" w:color="auto" w:fill="auto"/>
        <w:spacing w:line="240" w:lineRule="auto"/>
        <w:rPr>
          <w:b/>
          <w:sz w:val="24"/>
          <w:szCs w:val="24"/>
        </w:rPr>
      </w:pPr>
      <w:r>
        <w:rPr>
          <w:b/>
          <w:sz w:val="24"/>
          <w:szCs w:val="24"/>
        </w:rPr>
        <w:t>Глава 3. СТИМУЛИРУЮЩИЕ ВЫПЛАТЫ</w:t>
      </w:r>
    </w:p>
    <w:p w14:paraId="4C3AD539">
      <w:pPr>
        <w:pStyle w:val="9"/>
        <w:shd w:val="clear" w:color="auto" w:fill="auto"/>
        <w:tabs>
          <w:tab w:val="left" w:pos="482"/>
        </w:tabs>
        <w:spacing w:line="240" w:lineRule="auto"/>
        <w:ind w:right="62" w:firstLine="851"/>
        <w:jc w:val="both"/>
        <w:rPr>
          <w:sz w:val="24"/>
          <w:szCs w:val="24"/>
        </w:rPr>
      </w:pPr>
      <w:r>
        <w:rPr>
          <w:sz w:val="24"/>
          <w:szCs w:val="24"/>
        </w:rPr>
        <w:t>3.1. В соответствии с настоящей главой  локальными актами об оплате труда устанавливаются стимулирующие выплаты работникам МКУК «КДЦ Филипповского МО», за исключением руководителей МКУК «КДЦ Филипповского МО», если иное не установлено настоящим Положением.</w:t>
      </w:r>
    </w:p>
    <w:p w14:paraId="43EC02DD">
      <w:pPr>
        <w:pStyle w:val="9"/>
        <w:shd w:val="clear" w:color="auto" w:fill="auto"/>
        <w:spacing w:line="240" w:lineRule="auto"/>
        <w:ind w:right="62" w:firstLine="851"/>
        <w:jc w:val="both"/>
        <w:rPr>
          <w:sz w:val="24"/>
          <w:szCs w:val="24"/>
        </w:rPr>
      </w:pPr>
      <w:r>
        <w:rPr>
          <w:sz w:val="24"/>
          <w:szCs w:val="24"/>
        </w:rPr>
        <w:t>Устанавливаются следующие виды стимулирующих выплат:</w:t>
      </w:r>
    </w:p>
    <w:p w14:paraId="570D8386">
      <w:pPr>
        <w:pStyle w:val="9"/>
        <w:shd w:val="clear" w:color="auto" w:fill="auto"/>
        <w:spacing w:line="240" w:lineRule="auto"/>
        <w:ind w:right="62" w:firstLine="851"/>
        <w:jc w:val="both"/>
        <w:rPr>
          <w:sz w:val="24"/>
          <w:szCs w:val="24"/>
        </w:rPr>
      </w:pPr>
      <w:r>
        <w:rPr>
          <w:sz w:val="24"/>
          <w:szCs w:val="24"/>
        </w:rPr>
        <w:t>1) за интенсивность и высокие результаты работы;</w:t>
      </w:r>
    </w:p>
    <w:p w14:paraId="1B3CC0F9">
      <w:pPr>
        <w:pStyle w:val="9"/>
        <w:shd w:val="clear" w:color="auto" w:fill="auto"/>
        <w:tabs>
          <w:tab w:val="left" w:pos="858"/>
        </w:tabs>
        <w:spacing w:line="240" w:lineRule="auto"/>
        <w:ind w:left="851" w:right="62"/>
        <w:jc w:val="left"/>
        <w:rPr>
          <w:sz w:val="24"/>
          <w:szCs w:val="24"/>
        </w:rPr>
      </w:pPr>
      <w:r>
        <w:rPr>
          <w:sz w:val="24"/>
          <w:szCs w:val="24"/>
        </w:rPr>
        <w:t>2) за стаж непрерывной  работы;                                                                                                                                 3) за качество выполняемых работ;</w:t>
      </w:r>
    </w:p>
    <w:p w14:paraId="678FAC0C">
      <w:pPr>
        <w:pStyle w:val="9"/>
        <w:shd w:val="clear" w:color="auto" w:fill="auto"/>
        <w:tabs>
          <w:tab w:val="left" w:pos="848"/>
        </w:tabs>
        <w:spacing w:line="240" w:lineRule="auto"/>
        <w:ind w:right="62" w:firstLine="851"/>
        <w:jc w:val="both"/>
        <w:rPr>
          <w:sz w:val="24"/>
          <w:szCs w:val="24"/>
        </w:rPr>
      </w:pPr>
      <w:r>
        <w:rPr>
          <w:sz w:val="24"/>
          <w:szCs w:val="24"/>
        </w:rPr>
        <w:t>4) за профессиональное развитие, степень самостоятельности работника и важности выполняемых им работ;</w:t>
      </w:r>
    </w:p>
    <w:p w14:paraId="7DF3BA9A">
      <w:pPr>
        <w:pStyle w:val="9"/>
        <w:shd w:val="clear" w:color="auto" w:fill="auto"/>
        <w:tabs>
          <w:tab w:val="left" w:pos="848"/>
        </w:tabs>
        <w:spacing w:line="240" w:lineRule="auto"/>
        <w:ind w:right="62" w:firstLine="851"/>
        <w:jc w:val="both"/>
        <w:rPr>
          <w:sz w:val="24"/>
          <w:szCs w:val="24"/>
        </w:rPr>
      </w:pPr>
      <w:r>
        <w:rPr>
          <w:sz w:val="24"/>
          <w:szCs w:val="24"/>
        </w:rPr>
        <w:t>5) премиальные выплаты по итогам работы.</w:t>
      </w:r>
    </w:p>
    <w:p w14:paraId="1F04A790">
      <w:pPr>
        <w:pStyle w:val="9"/>
        <w:shd w:val="clear" w:color="auto" w:fill="auto"/>
        <w:tabs>
          <w:tab w:val="left" w:pos="1009"/>
        </w:tabs>
        <w:spacing w:line="240" w:lineRule="auto"/>
        <w:ind w:right="62" w:firstLine="851"/>
        <w:jc w:val="both"/>
        <w:rPr>
          <w:sz w:val="24"/>
          <w:szCs w:val="24"/>
        </w:rPr>
      </w:pPr>
      <w:r>
        <w:rPr>
          <w:sz w:val="24"/>
          <w:szCs w:val="24"/>
        </w:rPr>
        <w:t>3.2. Стимулирующие выплаты устанавливаются работникам МКУК «КДЦ Филипповского МО» в процентах (в коэффициентах) или в абсолютных размерах к окладам (должностным окладам)  ставкам заработной платы с учетом требований настоящего Положения.</w:t>
      </w:r>
    </w:p>
    <w:p w14:paraId="109DB386">
      <w:pPr>
        <w:pStyle w:val="15"/>
        <w:keepNext/>
        <w:keepLines/>
        <w:shd w:val="clear" w:color="auto" w:fill="auto"/>
        <w:tabs>
          <w:tab w:val="left" w:pos="1047"/>
        </w:tabs>
        <w:spacing w:line="240" w:lineRule="auto"/>
        <w:ind w:right="62" w:firstLine="851"/>
        <w:jc w:val="both"/>
        <w:rPr>
          <w:b w:val="0"/>
          <w:color w:val="000000" w:themeColor="text1"/>
          <w:sz w:val="24"/>
          <w:szCs w:val="24"/>
        </w:rPr>
      </w:pPr>
      <w:bookmarkStart w:id="0" w:name="bookmark5"/>
      <w:r>
        <w:rPr>
          <w:rStyle w:val="17"/>
          <w:b/>
          <w:bCs w:val="0"/>
          <w:sz w:val="24"/>
          <w:szCs w:val="24"/>
        </w:rPr>
        <w:t>3.3. К выплатам за интенсивность и высокие результаты работы относятся следующие категории выплат</w:t>
      </w:r>
      <w:r>
        <w:rPr>
          <w:rStyle w:val="17"/>
          <w:b/>
          <w:bCs w:val="0"/>
          <w:color w:val="000000" w:themeColor="text1"/>
          <w:sz w:val="24"/>
          <w:szCs w:val="24"/>
        </w:rPr>
        <w:t>:</w:t>
      </w:r>
      <w:bookmarkEnd w:id="0"/>
      <w:r>
        <w:rPr>
          <w:color w:val="000000" w:themeColor="text1"/>
          <w:sz w:val="24"/>
          <w:szCs w:val="24"/>
        </w:rPr>
        <w:t xml:space="preserve"> </w:t>
      </w:r>
      <w:r>
        <w:rPr>
          <w:rStyle w:val="17"/>
          <w:b w:val="0"/>
          <w:bCs w:val="0"/>
          <w:color w:val="000000" w:themeColor="text1"/>
          <w:sz w:val="24"/>
          <w:szCs w:val="24"/>
        </w:rPr>
        <w:t xml:space="preserve">  в пределах фонда оплаты труда:</w:t>
      </w:r>
    </w:p>
    <w:p w14:paraId="47387387">
      <w:pPr>
        <w:pStyle w:val="15"/>
        <w:keepNext/>
        <w:keepLines/>
        <w:shd w:val="clear" w:color="auto" w:fill="auto"/>
        <w:tabs>
          <w:tab w:val="left" w:pos="1047"/>
        </w:tabs>
        <w:spacing w:line="240" w:lineRule="auto"/>
        <w:ind w:right="62" w:firstLine="851"/>
        <w:jc w:val="both"/>
        <w:rPr>
          <w:b w:val="0"/>
          <w:color w:val="000000" w:themeColor="text1"/>
          <w:sz w:val="24"/>
          <w:szCs w:val="24"/>
        </w:rPr>
      </w:pPr>
    </w:p>
    <w:p w14:paraId="11E56CE9">
      <w:pPr>
        <w:pStyle w:val="9"/>
        <w:shd w:val="clear" w:color="auto" w:fill="auto"/>
        <w:tabs>
          <w:tab w:val="left" w:pos="937"/>
        </w:tabs>
        <w:spacing w:line="240" w:lineRule="auto"/>
        <w:ind w:right="62" w:firstLine="851"/>
        <w:jc w:val="both"/>
        <w:rPr>
          <w:sz w:val="24"/>
          <w:szCs w:val="24"/>
        </w:rPr>
      </w:pPr>
      <w:r>
        <w:rPr>
          <w:sz w:val="24"/>
          <w:szCs w:val="24"/>
        </w:rPr>
        <w:t>1) выплата работникам МКУК «КДЦ Филипповского МО», должности которых согласно Приложению 2 к настоящему Положению включены в перечень должностей работников библиотек,   учреждений клубного типа, за репетиционную нагрузку - в размере не менее 5   процентов;</w:t>
      </w:r>
    </w:p>
    <w:p w14:paraId="5798B0E1">
      <w:pPr>
        <w:spacing w:after="0"/>
        <w:jc w:val="both"/>
        <w:rPr>
          <w:rFonts w:ascii="Times New Roman" w:hAnsi="Times New Roman"/>
          <w:color w:val="000000" w:themeColor="text1"/>
          <w:sz w:val="24"/>
          <w:szCs w:val="24"/>
        </w:rPr>
      </w:pPr>
      <w:r>
        <w:rPr>
          <w:sz w:val="24"/>
          <w:szCs w:val="24"/>
        </w:rPr>
        <w:t xml:space="preserve">              2) </w:t>
      </w:r>
      <w:r>
        <w:rPr>
          <w:rFonts w:ascii="Times New Roman" w:hAnsi="Times New Roman"/>
          <w:sz w:val="24"/>
          <w:szCs w:val="24"/>
        </w:rPr>
        <w:t xml:space="preserve">выплата работникам МКУК «КДЦ Филипповского МО», должности которых включены в Приложение 2 к настоящему Положению, за участие в осуществлении учреждением основной деятельности, предусмотренной Уставом учреждения - в размере </w:t>
      </w:r>
      <w:r>
        <w:rPr>
          <w:rFonts w:ascii="Times New Roman" w:hAnsi="Times New Roman"/>
          <w:color w:val="000000" w:themeColor="text1"/>
          <w:sz w:val="24"/>
          <w:szCs w:val="24"/>
        </w:rPr>
        <w:t xml:space="preserve">не менее 5 процентов;  </w:t>
      </w:r>
    </w:p>
    <w:p w14:paraId="40B9862F">
      <w:pPr>
        <w:pStyle w:val="27"/>
        <w:spacing w:line="240" w:lineRule="auto"/>
        <w:ind w:left="0" w:right="62"/>
        <w:jc w:val="both"/>
        <w:rPr>
          <w:rFonts w:ascii="Times New Roman" w:hAnsi="Times New Roman" w:eastAsia="Arial Unicode MS"/>
          <w:color w:val="000000" w:themeColor="text1"/>
          <w:sz w:val="24"/>
          <w:szCs w:val="24"/>
        </w:rPr>
      </w:pPr>
      <w:r>
        <w:rPr>
          <w:rFonts w:ascii="Times New Roman" w:hAnsi="Times New Roman" w:eastAsia="Arial Unicode MS"/>
          <w:color w:val="000000" w:themeColor="text1"/>
          <w:sz w:val="24"/>
          <w:szCs w:val="24"/>
        </w:rPr>
        <w:t xml:space="preserve">              3) выплата за организацию и проведение мероприятий, включенных в федеральные, областные целевые программы - в размере не менее 5 процентов;</w:t>
      </w:r>
    </w:p>
    <w:p w14:paraId="39FDCB49">
      <w:pPr>
        <w:pStyle w:val="27"/>
        <w:spacing w:line="240" w:lineRule="auto"/>
        <w:ind w:left="0" w:right="62" w:firstLine="851"/>
        <w:jc w:val="both"/>
        <w:rPr>
          <w:rFonts w:ascii="Times New Roman" w:hAnsi="Times New Roman"/>
          <w:color w:val="000000" w:themeColor="text1"/>
          <w:sz w:val="24"/>
          <w:szCs w:val="24"/>
        </w:rPr>
      </w:pPr>
      <w:r>
        <w:rPr>
          <w:rFonts w:ascii="Times New Roman" w:hAnsi="Times New Roman" w:eastAsia="Arial Unicode MS"/>
          <w:color w:val="000000" w:themeColor="text1"/>
          <w:sz w:val="24"/>
          <w:szCs w:val="24"/>
        </w:rPr>
        <w:t xml:space="preserve">4) </w:t>
      </w:r>
      <w:r>
        <w:rPr>
          <w:rFonts w:ascii="Times New Roman" w:hAnsi="Times New Roman"/>
          <w:color w:val="000000" w:themeColor="text1"/>
          <w:sz w:val="24"/>
          <w:szCs w:val="24"/>
        </w:rPr>
        <w:t xml:space="preserve">выплата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учреждений, предусмотренной уставом, сценическо-постановочных средств, библиотечного имущества, оборудования  - в размере </w:t>
      </w:r>
      <w:r>
        <w:rPr>
          <w:rFonts w:ascii="Times New Roman" w:hAnsi="Times New Roman" w:eastAsia="Arial Unicode MS"/>
          <w:color w:val="000000" w:themeColor="text1"/>
          <w:sz w:val="24"/>
          <w:szCs w:val="24"/>
        </w:rPr>
        <w:t>не менее 5 процентов;</w:t>
      </w:r>
    </w:p>
    <w:p w14:paraId="4833EC61">
      <w:pPr>
        <w:pStyle w:val="27"/>
        <w:spacing w:line="240" w:lineRule="auto"/>
        <w:ind w:left="0" w:right="62" w:firstLine="851"/>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5) выплата за создание условий для реализации национально - 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 и землячеств - в размере от </w:t>
      </w:r>
      <w:r>
        <w:rPr>
          <w:rFonts w:ascii="Times New Roman" w:hAnsi="Times New Roman" w:eastAsia="Arial Unicode MS"/>
          <w:color w:val="000000" w:themeColor="text1"/>
          <w:sz w:val="24"/>
          <w:szCs w:val="24"/>
        </w:rPr>
        <w:t>не менее 5 процентов</w:t>
      </w:r>
      <w:r>
        <w:rPr>
          <w:rFonts w:ascii="Times New Roman" w:hAnsi="Times New Roman"/>
          <w:color w:val="000000" w:themeColor="text1"/>
          <w:sz w:val="24"/>
          <w:szCs w:val="24"/>
        </w:rPr>
        <w:t>;</w:t>
      </w:r>
    </w:p>
    <w:p w14:paraId="20C9474C">
      <w:pPr>
        <w:pStyle w:val="27"/>
        <w:spacing w:line="240" w:lineRule="auto"/>
        <w:ind w:left="0" w:right="62" w:firstLine="851"/>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6) выплата за сложность подготавливаемых планово-отчетных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 - в размере </w:t>
      </w:r>
      <w:r>
        <w:rPr>
          <w:rFonts w:ascii="Times New Roman" w:hAnsi="Times New Roman" w:eastAsia="Arial Unicode MS"/>
          <w:color w:val="000000" w:themeColor="text1"/>
          <w:sz w:val="24"/>
          <w:szCs w:val="24"/>
        </w:rPr>
        <w:t>не менее 5 процентов</w:t>
      </w:r>
      <w:r>
        <w:rPr>
          <w:rFonts w:ascii="Times New Roman" w:hAnsi="Times New Roman"/>
          <w:color w:val="000000" w:themeColor="text1"/>
          <w:sz w:val="24"/>
          <w:szCs w:val="24"/>
        </w:rPr>
        <w:t xml:space="preserve">; </w:t>
      </w:r>
    </w:p>
    <w:p w14:paraId="65D71CF1">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При установлении указанной в настоящем подпункте выплаты учитываются:</w:t>
      </w:r>
    </w:p>
    <w:p w14:paraId="02A75810">
      <w:pPr>
        <w:spacing w:after="0"/>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сложность подготавливаемых планово-отчетных документов, документов по информационным запросам, обращением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w:t>
      </w:r>
    </w:p>
    <w:p w14:paraId="7B019B40">
      <w:pPr>
        <w:spacing w:after="0"/>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выплата за работу с муниципальными образованиями  Зиминского района, в том числе при организации методической работы в сфере библиотечного дела, координирования деятельности библиотек и культурно-досуговых учреждений сельских поселений Зиминского района, проведении культурно – просветительских мероприятий в муниципальных образованиях Зиминского района;</w:t>
      </w:r>
    </w:p>
    <w:p w14:paraId="6313185B">
      <w:pPr>
        <w:spacing w:after="0"/>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работа по обеспечению оперативного и (или) непрерывного обслуживания зданий и помещений, закрепленных за учреждениями,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w:t>
      </w:r>
    </w:p>
    <w:p w14:paraId="28EC7374">
      <w:pPr>
        <w:spacing w:after="0"/>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подготовка документов по проверкам контролирующих органов;</w:t>
      </w:r>
    </w:p>
    <w:p w14:paraId="4DE333D8">
      <w:pPr>
        <w:spacing w:after="0"/>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подготовка и предоставление сводной аналитической информации в сфере культуры: по поручениям и запросам органов государственной власти, по реализации национальных проектов и государственных программ, по выполнению дорожных карт.»;</w:t>
      </w:r>
    </w:p>
    <w:p w14:paraId="044D9C5C">
      <w:pPr>
        <w:spacing w:line="240" w:lineRule="auto"/>
        <w:ind w:right="62" w:firstLine="851"/>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7) исключён</w:t>
      </w:r>
    </w:p>
    <w:p w14:paraId="6FE5B958">
      <w:pPr>
        <w:spacing w:after="0" w:line="240" w:lineRule="auto"/>
        <w:ind w:right="62" w:firstLine="851"/>
        <w:contextualSpacing/>
        <w:jc w:val="both"/>
        <w:rPr>
          <w:rFonts w:ascii="Times New Roman" w:hAnsi="Times New Roman" w:eastAsia="Arial Unicode MS"/>
          <w:color w:val="000000" w:themeColor="text1"/>
          <w:sz w:val="24"/>
          <w:szCs w:val="24"/>
        </w:rPr>
      </w:pPr>
      <w:r>
        <w:rPr>
          <w:rFonts w:ascii="Times New Roman" w:hAnsi="Times New Roman"/>
          <w:color w:val="000000" w:themeColor="text1"/>
          <w:sz w:val="24"/>
          <w:szCs w:val="24"/>
        </w:rPr>
        <w:t>8) исключён</w:t>
      </w:r>
    </w:p>
    <w:p w14:paraId="5096441D">
      <w:pPr>
        <w:pStyle w:val="9"/>
        <w:shd w:val="clear" w:color="auto" w:fill="auto"/>
        <w:tabs>
          <w:tab w:val="left" w:pos="1092"/>
        </w:tabs>
        <w:spacing w:line="240" w:lineRule="auto"/>
        <w:ind w:right="62" w:firstLine="851"/>
        <w:jc w:val="both"/>
        <w:rPr>
          <w:color w:val="000000" w:themeColor="text1"/>
          <w:sz w:val="24"/>
          <w:szCs w:val="24"/>
        </w:rPr>
      </w:pPr>
      <w:r>
        <w:rPr>
          <w:color w:val="000000" w:themeColor="text1"/>
          <w:sz w:val="24"/>
          <w:szCs w:val="24"/>
        </w:rPr>
        <w:t xml:space="preserve">9) исключён </w:t>
      </w:r>
    </w:p>
    <w:p w14:paraId="14CDE4FB">
      <w:pPr>
        <w:pStyle w:val="27"/>
        <w:spacing w:after="0" w:line="240" w:lineRule="auto"/>
        <w:ind w:left="0" w:right="62" w:firstLine="851"/>
        <w:jc w:val="both"/>
        <w:rPr>
          <w:rFonts w:ascii="Times New Roman" w:hAnsi="Times New Roman" w:eastAsia="Arial Unicode MS"/>
          <w:sz w:val="24"/>
          <w:szCs w:val="24"/>
        </w:rPr>
      </w:pPr>
    </w:p>
    <w:p w14:paraId="6DE0BB15">
      <w:pPr>
        <w:pStyle w:val="9"/>
        <w:shd w:val="clear" w:color="auto" w:fill="auto"/>
        <w:tabs>
          <w:tab w:val="left" w:pos="1092"/>
        </w:tabs>
        <w:spacing w:line="240" w:lineRule="auto"/>
        <w:ind w:right="62" w:firstLine="851"/>
        <w:jc w:val="both"/>
        <w:rPr>
          <w:sz w:val="24"/>
          <w:szCs w:val="24"/>
        </w:rPr>
      </w:pPr>
      <w:r>
        <w:rPr>
          <w:sz w:val="24"/>
          <w:szCs w:val="24"/>
        </w:rPr>
        <w:t xml:space="preserve"> </w:t>
      </w:r>
      <w:r>
        <w:rPr>
          <w:rStyle w:val="20"/>
          <w:sz w:val="24"/>
          <w:szCs w:val="24"/>
        </w:rPr>
        <w:t>3.4. К стимулирующим выплатам за стаж непрерывной  работы относятся следующие категории выплат:</w:t>
      </w:r>
    </w:p>
    <w:p w14:paraId="564B43D5">
      <w:pPr>
        <w:pStyle w:val="9"/>
        <w:shd w:val="clear" w:color="auto" w:fill="auto"/>
        <w:tabs>
          <w:tab w:val="left" w:pos="918"/>
        </w:tabs>
        <w:spacing w:line="240" w:lineRule="auto"/>
        <w:ind w:right="62" w:firstLine="851"/>
        <w:jc w:val="both"/>
        <w:rPr>
          <w:sz w:val="24"/>
          <w:szCs w:val="24"/>
        </w:rPr>
      </w:pPr>
      <w:r>
        <w:rPr>
          <w:sz w:val="24"/>
          <w:szCs w:val="24"/>
        </w:rPr>
        <w:t>1) выплата за стаж непрерывной  работы в МКУК «КДЦ Филипповского МО» - в размере от 5 до 25 процентов.</w:t>
      </w:r>
    </w:p>
    <w:p w14:paraId="04C89BC6">
      <w:pPr>
        <w:pStyle w:val="9"/>
        <w:shd w:val="clear" w:color="auto" w:fill="auto"/>
        <w:spacing w:line="240" w:lineRule="auto"/>
        <w:ind w:left="40" w:right="62" w:firstLine="851"/>
        <w:jc w:val="both"/>
        <w:rPr>
          <w:sz w:val="24"/>
          <w:szCs w:val="24"/>
        </w:rPr>
      </w:pPr>
      <w:r>
        <w:rPr>
          <w:sz w:val="24"/>
          <w:szCs w:val="24"/>
        </w:rPr>
        <w:t>Стажем непрерывной работы считается период работы в МКУК «КДЦ Филипповского МО» на условиях трудового договора, заключенного по основному месту работы, не менее трех лет, в течение которых трудовые отношения не прерывались на срок более шести календарных месяцев подряд.</w:t>
      </w:r>
    </w:p>
    <w:tbl>
      <w:tblPr>
        <w:tblStyle w:val="5"/>
        <w:tblW w:w="9210"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835"/>
        <w:gridCol w:w="4375"/>
      </w:tblGrid>
      <w:tr w14:paraId="4A4F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4835" w:type="dxa"/>
            <w:vAlign w:val="center"/>
          </w:tcPr>
          <w:p w14:paraId="11681CA3">
            <w:pPr>
              <w:spacing w:after="0" w:line="240" w:lineRule="auto"/>
              <w:jc w:val="center"/>
              <w:rPr>
                <w:rFonts w:ascii="Times New Roman" w:hAnsi="Times New Roman"/>
                <w:b/>
                <w:sz w:val="24"/>
                <w:szCs w:val="24"/>
              </w:rPr>
            </w:pPr>
            <w:r>
              <w:rPr>
                <w:rFonts w:ascii="Times New Roman" w:hAnsi="Times New Roman"/>
                <w:b/>
                <w:sz w:val="24"/>
                <w:szCs w:val="24"/>
              </w:rPr>
              <w:t>Стаж работы</w:t>
            </w:r>
          </w:p>
        </w:tc>
        <w:tc>
          <w:tcPr>
            <w:tcW w:w="4375" w:type="dxa"/>
            <w:vAlign w:val="center"/>
          </w:tcPr>
          <w:p w14:paraId="53E02975">
            <w:pPr>
              <w:spacing w:after="0" w:line="240" w:lineRule="auto"/>
              <w:jc w:val="center"/>
              <w:rPr>
                <w:rFonts w:ascii="Times New Roman" w:hAnsi="Times New Roman"/>
                <w:b/>
                <w:sz w:val="24"/>
                <w:szCs w:val="24"/>
              </w:rPr>
            </w:pPr>
            <w:r>
              <w:rPr>
                <w:rFonts w:ascii="Times New Roman" w:hAnsi="Times New Roman"/>
                <w:b/>
                <w:sz w:val="24"/>
                <w:szCs w:val="24"/>
              </w:rPr>
              <w:t>Размер (в процентах к должностному окладу)</w:t>
            </w:r>
          </w:p>
        </w:tc>
      </w:tr>
      <w:tr w14:paraId="100D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4835" w:type="dxa"/>
            <w:vAlign w:val="center"/>
          </w:tcPr>
          <w:p w14:paraId="7713901A">
            <w:pPr>
              <w:spacing w:after="0" w:line="240" w:lineRule="auto"/>
              <w:jc w:val="center"/>
              <w:rPr>
                <w:rFonts w:ascii="Times New Roman" w:hAnsi="Times New Roman"/>
                <w:sz w:val="24"/>
                <w:szCs w:val="24"/>
              </w:rPr>
            </w:pPr>
            <w:r>
              <w:rPr>
                <w:rFonts w:ascii="Times New Roman" w:hAnsi="Times New Roman"/>
                <w:sz w:val="24"/>
                <w:szCs w:val="24"/>
              </w:rPr>
              <w:t>от 3 до 8 лет</w:t>
            </w:r>
          </w:p>
        </w:tc>
        <w:tc>
          <w:tcPr>
            <w:tcW w:w="4375" w:type="dxa"/>
            <w:vAlign w:val="center"/>
          </w:tcPr>
          <w:p w14:paraId="5C59473C">
            <w:pPr>
              <w:spacing w:after="0" w:line="240" w:lineRule="auto"/>
              <w:jc w:val="center"/>
              <w:rPr>
                <w:rFonts w:ascii="Times New Roman" w:hAnsi="Times New Roman"/>
                <w:sz w:val="24"/>
                <w:szCs w:val="24"/>
              </w:rPr>
            </w:pPr>
            <w:r>
              <w:rPr>
                <w:rFonts w:ascii="Times New Roman" w:hAnsi="Times New Roman"/>
                <w:sz w:val="24"/>
                <w:szCs w:val="24"/>
              </w:rPr>
              <w:t>5</w:t>
            </w:r>
          </w:p>
        </w:tc>
      </w:tr>
      <w:tr w14:paraId="1254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4835" w:type="dxa"/>
            <w:vAlign w:val="center"/>
          </w:tcPr>
          <w:p w14:paraId="13A8E85F">
            <w:pPr>
              <w:spacing w:after="0" w:line="240" w:lineRule="auto"/>
              <w:jc w:val="center"/>
              <w:rPr>
                <w:rFonts w:ascii="Times New Roman" w:hAnsi="Times New Roman"/>
                <w:sz w:val="24"/>
                <w:szCs w:val="24"/>
              </w:rPr>
            </w:pPr>
            <w:r>
              <w:rPr>
                <w:rFonts w:ascii="Times New Roman" w:hAnsi="Times New Roman"/>
                <w:sz w:val="24"/>
                <w:szCs w:val="24"/>
              </w:rPr>
              <w:t>от 8 до 13 лет</w:t>
            </w:r>
          </w:p>
        </w:tc>
        <w:tc>
          <w:tcPr>
            <w:tcW w:w="4375" w:type="dxa"/>
            <w:vAlign w:val="center"/>
          </w:tcPr>
          <w:p w14:paraId="7C3B7235">
            <w:pPr>
              <w:spacing w:after="0" w:line="240" w:lineRule="auto"/>
              <w:jc w:val="center"/>
              <w:rPr>
                <w:rFonts w:ascii="Times New Roman" w:hAnsi="Times New Roman"/>
                <w:sz w:val="24"/>
                <w:szCs w:val="24"/>
              </w:rPr>
            </w:pPr>
            <w:r>
              <w:rPr>
                <w:rFonts w:ascii="Times New Roman" w:hAnsi="Times New Roman"/>
                <w:sz w:val="24"/>
                <w:szCs w:val="24"/>
              </w:rPr>
              <w:t>10</w:t>
            </w:r>
          </w:p>
        </w:tc>
      </w:tr>
      <w:tr w14:paraId="058C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4835" w:type="dxa"/>
            <w:vAlign w:val="center"/>
          </w:tcPr>
          <w:p w14:paraId="1BD10BA4">
            <w:pPr>
              <w:spacing w:after="0" w:line="240" w:lineRule="auto"/>
              <w:jc w:val="center"/>
              <w:rPr>
                <w:rFonts w:ascii="Times New Roman" w:hAnsi="Times New Roman"/>
                <w:sz w:val="24"/>
                <w:szCs w:val="24"/>
              </w:rPr>
            </w:pPr>
            <w:r>
              <w:rPr>
                <w:rFonts w:ascii="Times New Roman" w:hAnsi="Times New Roman"/>
                <w:sz w:val="24"/>
                <w:szCs w:val="24"/>
              </w:rPr>
              <w:t>от 13 до 18 лет</w:t>
            </w:r>
          </w:p>
        </w:tc>
        <w:tc>
          <w:tcPr>
            <w:tcW w:w="4375" w:type="dxa"/>
            <w:vAlign w:val="center"/>
          </w:tcPr>
          <w:p w14:paraId="45D50175">
            <w:pPr>
              <w:spacing w:after="0" w:line="240" w:lineRule="auto"/>
              <w:jc w:val="center"/>
              <w:rPr>
                <w:rFonts w:ascii="Times New Roman" w:hAnsi="Times New Roman"/>
                <w:sz w:val="24"/>
                <w:szCs w:val="24"/>
              </w:rPr>
            </w:pPr>
            <w:r>
              <w:rPr>
                <w:rFonts w:ascii="Times New Roman" w:hAnsi="Times New Roman"/>
                <w:sz w:val="24"/>
                <w:szCs w:val="24"/>
              </w:rPr>
              <w:t>15</w:t>
            </w:r>
          </w:p>
        </w:tc>
      </w:tr>
      <w:tr w14:paraId="154B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4835" w:type="dxa"/>
            <w:vAlign w:val="center"/>
          </w:tcPr>
          <w:p w14:paraId="0E08D0CC">
            <w:pPr>
              <w:spacing w:after="0" w:line="240" w:lineRule="auto"/>
              <w:jc w:val="center"/>
              <w:rPr>
                <w:rFonts w:ascii="Times New Roman" w:hAnsi="Times New Roman"/>
                <w:sz w:val="24"/>
                <w:szCs w:val="24"/>
              </w:rPr>
            </w:pPr>
            <w:r>
              <w:rPr>
                <w:rFonts w:ascii="Times New Roman" w:hAnsi="Times New Roman"/>
                <w:sz w:val="24"/>
                <w:szCs w:val="24"/>
              </w:rPr>
              <w:t>от 18 до 23 лет</w:t>
            </w:r>
          </w:p>
        </w:tc>
        <w:tc>
          <w:tcPr>
            <w:tcW w:w="4375" w:type="dxa"/>
            <w:vAlign w:val="center"/>
          </w:tcPr>
          <w:p w14:paraId="18A3DFC1">
            <w:pPr>
              <w:spacing w:after="0" w:line="240" w:lineRule="auto"/>
              <w:jc w:val="center"/>
              <w:rPr>
                <w:rFonts w:ascii="Times New Roman" w:hAnsi="Times New Roman"/>
                <w:sz w:val="24"/>
                <w:szCs w:val="24"/>
              </w:rPr>
            </w:pPr>
            <w:r>
              <w:rPr>
                <w:rFonts w:ascii="Times New Roman" w:hAnsi="Times New Roman"/>
                <w:sz w:val="24"/>
                <w:szCs w:val="24"/>
              </w:rPr>
              <w:t>20</w:t>
            </w:r>
          </w:p>
        </w:tc>
      </w:tr>
      <w:tr w14:paraId="07FB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4835" w:type="dxa"/>
            <w:vAlign w:val="center"/>
          </w:tcPr>
          <w:p w14:paraId="24C4930A">
            <w:pPr>
              <w:spacing w:after="0" w:line="240" w:lineRule="auto"/>
              <w:jc w:val="center"/>
              <w:rPr>
                <w:rFonts w:ascii="Times New Roman" w:hAnsi="Times New Roman"/>
                <w:sz w:val="24"/>
                <w:szCs w:val="24"/>
              </w:rPr>
            </w:pPr>
            <w:r>
              <w:rPr>
                <w:rFonts w:ascii="Times New Roman" w:hAnsi="Times New Roman"/>
                <w:sz w:val="24"/>
                <w:szCs w:val="24"/>
              </w:rPr>
              <w:t>от 23 лет</w:t>
            </w:r>
          </w:p>
        </w:tc>
        <w:tc>
          <w:tcPr>
            <w:tcW w:w="4375" w:type="dxa"/>
            <w:vAlign w:val="center"/>
          </w:tcPr>
          <w:p w14:paraId="37304F65">
            <w:pPr>
              <w:spacing w:after="0" w:line="240" w:lineRule="auto"/>
              <w:jc w:val="center"/>
              <w:rPr>
                <w:rFonts w:ascii="Times New Roman" w:hAnsi="Times New Roman"/>
                <w:sz w:val="24"/>
                <w:szCs w:val="24"/>
              </w:rPr>
            </w:pPr>
            <w:r>
              <w:rPr>
                <w:rFonts w:ascii="Times New Roman" w:hAnsi="Times New Roman"/>
                <w:sz w:val="24"/>
                <w:szCs w:val="24"/>
              </w:rPr>
              <w:t>25</w:t>
            </w:r>
          </w:p>
        </w:tc>
      </w:tr>
    </w:tbl>
    <w:p w14:paraId="71D38439">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2) выплата за выслугу лет – в размере от 10 до 30 процентов.</w:t>
      </w:r>
    </w:p>
    <w:p w14:paraId="7B94E2F5">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color w:val="00B0F0"/>
          <w:sz w:val="24"/>
          <w:szCs w:val="24"/>
        </w:rPr>
        <w:t xml:space="preserve"> </w:t>
      </w:r>
      <w:r>
        <w:rPr>
          <w:rFonts w:ascii="Times New Roman" w:hAnsi="Times New Roman"/>
          <w:sz w:val="24"/>
          <w:szCs w:val="24"/>
        </w:rPr>
        <w:t>Выслугой лет считается наличие у работника Учреждения стажа трудовой деятельности, который в соответствии с законодательством влечет предоставление работнику определенных льгот и преимуществ.</w:t>
      </w:r>
    </w:p>
    <w:p w14:paraId="0CB7F55D">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В стаж работы руководителя и работников основного и вспомогательного персонала Учреждения, дающий право на установление ежемесячной надбавки за выслугу лет, засчитывается,  период работы в Учреждении, а так же иные периоды работы на аналогичных должностях, опыт и знания по которым необходимы для выполнения должностных обязанностей. Решение о включении иных периодов в стаж работы, дающий право на получение надбавки работникам Учреждения, принимается руководителем, на основании  Положения о комиссии по установлению стажа работы, дающего права на стимулирующие выплаты, за выслугу лет работникам Учреждения (Приложение  №18), а  в отношении руководителя – локальным нормативным актом  Учредителя.</w:t>
      </w:r>
    </w:p>
    <w:p w14:paraId="745647F3">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Периоды, учитываемые при исчислении стажа работы, дающие право на установление ежемесячной надбавки за выслугу лет, устанавливаются в календарной исчислении и суммируются.</w:t>
      </w:r>
    </w:p>
    <w:p w14:paraId="7DEF13A0">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Основным документов для определения стажа работы, дающего право на получение ежемесячной надбавки за выслугу лет, является трудовая книжка.</w:t>
      </w:r>
    </w:p>
    <w:p w14:paraId="3B21B67D">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В подтверждение стажа работы руководителем и работниками могут быть представлены так же иные документы, удостоверяющие наличие стажа работы, дающие право на получение ежемесячной надбавки за выслугу лет.</w:t>
      </w:r>
    </w:p>
    <w:p w14:paraId="2213F37B">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Ежемесячная надбавка за выслугу лет устанавливается и выплачивается с момента возникновения права на назначение или повышение размера данной надбавки.</w:t>
      </w:r>
    </w:p>
    <w:p w14:paraId="249C3A13">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В случае, если у руководителя и работников указанное право наступило в период служебной командировки, при переподготовке или повышении квалификации с отрывом от работы; временной нетрудоспособности; нахождения в ежегодном основном и дополнительном оплачиваемых отпусках, отпуске по беременности и родам, отпуске по уходу за ребенком до достижения им возраста трех лет, учебном отпуске, иных дополнительных отпусках, когда за работниками сохранялась средняя заработная плата, отпуске без сохранения заработной платы, производится перерасчет среднего заработка.</w:t>
      </w:r>
    </w:p>
    <w:p w14:paraId="06C3FA65">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Ответственность за своевременный пересмотр размера ежемесячной надбавки за выслугу лет и подготовку проекта возлагается на должностное лицо, ответственное за ведение кадровой работы.</w:t>
      </w:r>
    </w:p>
    <w:p w14:paraId="5C9378A0">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 xml:space="preserve"> Назначение ежемесячной надбавки за выслугу лет оформляется соответствующим актом работодателя. </w:t>
      </w:r>
    </w:p>
    <w:p w14:paraId="66789BF3">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2) исключён</w:t>
      </w:r>
    </w:p>
    <w:p w14:paraId="7FC0B36A">
      <w:pPr>
        <w:autoSpaceDE w:val="0"/>
        <w:autoSpaceDN w:val="0"/>
        <w:adjustRightInd w:val="0"/>
        <w:spacing w:after="0" w:line="240" w:lineRule="auto"/>
        <w:ind w:right="62" w:firstLine="851"/>
        <w:jc w:val="both"/>
        <w:rPr>
          <w:rFonts w:ascii="Times New Roman" w:hAnsi="Times New Roman"/>
          <w:sz w:val="24"/>
          <w:szCs w:val="24"/>
        </w:rPr>
      </w:pPr>
    </w:p>
    <w:p w14:paraId="64D18F14">
      <w:pPr>
        <w:pStyle w:val="15"/>
        <w:keepNext/>
        <w:keepLines/>
        <w:shd w:val="clear" w:color="auto" w:fill="auto"/>
        <w:tabs>
          <w:tab w:val="left" w:pos="1180"/>
        </w:tabs>
        <w:spacing w:line="240" w:lineRule="auto"/>
        <w:ind w:right="62" w:firstLine="851"/>
        <w:jc w:val="both"/>
        <w:rPr>
          <w:b w:val="0"/>
          <w:sz w:val="24"/>
          <w:szCs w:val="24"/>
        </w:rPr>
      </w:pPr>
      <w:bookmarkStart w:id="1" w:name="bookmark6"/>
      <w:r>
        <w:rPr>
          <w:rStyle w:val="21"/>
          <w:b/>
          <w:bCs w:val="0"/>
          <w:sz w:val="24"/>
          <w:szCs w:val="24"/>
        </w:rPr>
        <w:t>3.3. К выплатам за качество выполняемых работ относятся</w:t>
      </w:r>
      <w:bookmarkEnd w:id="1"/>
      <w:r>
        <w:rPr>
          <w:rStyle w:val="21"/>
          <w:b/>
          <w:bCs w:val="0"/>
          <w:sz w:val="24"/>
          <w:szCs w:val="24"/>
        </w:rPr>
        <w:t xml:space="preserve"> следующие</w:t>
      </w:r>
      <w:bookmarkStart w:id="2" w:name="bookmark7"/>
      <w:r>
        <w:rPr>
          <w:rStyle w:val="21"/>
          <w:b/>
          <w:bCs w:val="0"/>
          <w:sz w:val="24"/>
          <w:szCs w:val="24"/>
        </w:rPr>
        <w:t xml:space="preserve"> категории выплат:</w:t>
      </w:r>
      <w:bookmarkEnd w:id="2"/>
    </w:p>
    <w:p w14:paraId="18F04826">
      <w:pPr>
        <w:pStyle w:val="9"/>
        <w:shd w:val="clear" w:color="auto" w:fill="auto"/>
        <w:spacing w:line="240" w:lineRule="auto"/>
        <w:ind w:right="62" w:firstLine="851"/>
        <w:jc w:val="both"/>
        <w:rPr>
          <w:sz w:val="24"/>
          <w:szCs w:val="24"/>
        </w:rPr>
      </w:pPr>
      <w:r>
        <w:rPr>
          <w:sz w:val="24"/>
          <w:szCs w:val="24"/>
        </w:rPr>
        <w:t xml:space="preserve">1) выплаты работникам МКУК «КДЦ Филипповского МО» за творческие успехи: </w:t>
      </w:r>
    </w:p>
    <w:p w14:paraId="1DEDC448">
      <w:pPr>
        <w:pStyle w:val="9"/>
        <w:shd w:val="clear" w:color="auto" w:fill="auto"/>
        <w:spacing w:line="240" w:lineRule="auto"/>
        <w:ind w:left="40" w:right="62" w:firstLine="851"/>
        <w:jc w:val="both"/>
        <w:rPr>
          <w:color w:val="000000" w:themeColor="text1"/>
          <w:sz w:val="24"/>
          <w:szCs w:val="24"/>
        </w:rPr>
      </w:pPr>
      <w:r>
        <w:rPr>
          <w:sz w:val="24"/>
          <w:szCs w:val="24"/>
        </w:rPr>
        <w:t xml:space="preserve">-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 и искусства - в </w:t>
      </w:r>
      <w:r>
        <w:rPr>
          <w:color w:val="000000" w:themeColor="text1"/>
          <w:sz w:val="24"/>
          <w:szCs w:val="24"/>
        </w:rPr>
        <w:t>размере не менее 5 процентов;</w:t>
      </w:r>
    </w:p>
    <w:p w14:paraId="406C3F39">
      <w:pPr>
        <w:pStyle w:val="9"/>
        <w:shd w:val="clear" w:color="auto" w:fill="auto"/>
        <w:spacing w:line="240" w:lineRule="auto"/>
        <w:ind w:left="40" w:right="62" w:firstLine="851"/>
        <w:jc w:val="both"/>
        <w:rPr>
          <w:color w:val="000000" w:themeColor="text1"/>
          <w:sz w:val="24"/>
          <w:szCs w:val="24"/>
        </w:rPr>
      </w:pPr>
      <w:r>
        <w:rPr>
          <w:color w:val="000000" w:themeColor="text1"/>
          <w:sz w:val="24"/>
          <w:szCs w:val="24"/>
        </w:rPr>
        <w:t>- 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 - в размере не менее 5 процентов;</w:t>
      </w:r>
    </w:p>
    <w:p w14:paraId="3E5C6B78">
      <w:pPr>
        <w:pStyle w:val="9"/>
        <w:shd w:val="clear" w:color="auto" w:fill="auto"/>
        <w:spacing w:line="240" w:lineRule="auto"/>
        <w:ind w:left="40" w:right="62" w:firstLine="851"/>
        <w:jc w:val="both"/>
        <w:rPr>
          <w:color w:val="000000" w:themeColor="text1"/>
          <w:sz w:val="24"/>
          <w:szCs w:val="24"/>
        </w:rPr>
      </w:pPr>
      <w:r>
        <w:rPr>
          <w:color w:val="000000" w:themeColor="text1"/>
          <w:sz w:val="24"/>
          <w:szCs w:val="24"/>
        </w:rPr>
        <w:t>- 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искусства - в размере не менее 5 процентов;</w:t>
      </w:r>
    </w:p>
    <w:p w14:paraId="35207B45">
      <w:pPr>
        <w:pStyle w:val="9"/>
        <w:shd w:val="clear" w:color="auto" w:fill="auto"/>
        <w:spacing w:line="240" w:lineRule="auto"/>
        <w:ind w:left="40" w:right="62" w:firstLine="851"/>
        <w:jc w:val="both"/>
        <w:rPr>
          <w:color w:val="000000" w:themeColor="text1"/>
          <w:sz w:val="24"/>
          <w:szCs w:val="24"/>
        </w:rPr>
      </w:pPr>
      <w:r>
        <w:rPr>
          <w:color w:val="000000" w:themeColor="text1"/>
          <w:sz w:val="24"/>
          <w:szCs w:val="24"/>
        </w:rPr>
        <w:t>- имеющим звание лауреата премии Губернатора Иркутской области - в размере от не менее 10 процентов;</w:t>
      </w:r>
    </w:p>
    <w:p w14:paraId="36450E24">
      <w:pPr>
        <w:pStyle w:val="9"/>
        <w:shd w:val="clear" w:color="auto" w:fill="auto"/>
        <w:spacing w:line="240" w:lineRule="auto"/>
        <w:ind w:left="40" w:right="62" w:firstLine="851"/>
        <w:jc w:val="both"/>
        <w:rPr>
          <w:color w:val="000000" w:themeColor="text1"/>
          <w:sz w:val="24"/>
          <w:szCs w:val="24"/>
        </w:rPr>
      </w:pPr>
      <w:r>
        <w:rPr>
          <w:color w:val="000000" w:themeColor="text1"/>
          <w:sz w:val="24"/>
          <w:szCs w:val="24"/>
        </w:rPr>
        <w:t>- награжденным наградами Иркутской области - в размере от 20 до 50 процентов;</w:t>
      </w:r>
    </w:p>
    <w:p w14:paraId="08C137F7">
      <w:pPr>
        <w:pStyle w:val="9"/>
        <w:shd w:val="clear" w:color="auto" w:fill="auto"/>
        <w:spacing w:line="240" w:lineRule="auto"/>
        <w:ind w:left="40" w:right="62" w:firstLine="851"/>
        <w:jc w:val="both"/>
        <w:rPr>
          <w:color w:val="000000" w:themeColor="text1"/>
          <w:sz w:val="24"/>
          <w:szCs w:val="24"/>
        </w:rPr>
      </w:pPr>
      <w:r>
        <w:rPr>
          <w:color w:val="000000" w:themeColor="text1"/>
          <w:sz w:val="24"/>
          <w:szCs w:val="24"/>
        </w:rPr>
        <w:t xml:space="preserve">- </w:t>
      </w:r>
      <w:bookmarkStart w:id="3" w:name="bookmark8"/>
      <w:r>
        <w:rPr>
          <w:color w:val="000000" w:themeColor="text1"/>
          <w:sz w:val="24"/>
          <w:szCs w:val="24"/>
        </w:rPr>
        <w:t>исключен</w:t>
      </w:r>
    </w:p>
    <w:p w14:paraId="372D7573">
      <w:pPr>
        <w:pStyle w:val="9"/>
        <w:shd w:val="clear" w:color="auto" w:fill="auto"/>
        <w:spacing w:line="240" w:lineRule="auto"/>
        <w:ind w:left="40" w:right="62" w:firstLine="851"/>
        <w:jc w:val="both"/>
        <w:rPr>
          <w:color w:val="000000" w:themeColor="text1"/>
          <w:sz w:val="24"/>
          <w:szCs w:val="24"/>
        </w:rPr>
      </w:pPr>
      <w:r>
        <w:rPr>
          <w:color w:val="000000" w:themeColor="text1"/>
          <w:sz w:val="24"/>
          <w:szCs w:val="24"/>
        </w:rPr>
        <w:t>- исключен</w:t>
      </w:r>
    </w:p>
    <w:p w14:paraId="7730C1B6">
      <w:pPr>
        <w:pStyle w:val="9"/>
        <w:shd w:val="clear" w:color="auto" w:fill="auto"/>
        <w:spacing w:line="240" w:lineRule="auto"/>
        <w:ind w:left="40" w:right="62" w:firstLine="851"/>
        <w:jc w:val="both"/>
        <w:rPr>
          <w:color w:val="000000" w:themeColor="text1"/>
          <w:sz w:val="24"/>
          <w:szCs w:val="24"/>
        </w:rPr>
      </w:pPr>
      <w:r>
        <w:rPr>
          <w:color w:val="000000" w:themeColor="text1"/>
          <w:sz w:val="24"/>
          <w:szCs w:val="24"/>
        </w:rPr>
        <w:t>- исключен</w:t>
      </w:r>
    </w:p>
    <w:p w14:paraId="0408C41C">
      <w:pPr>
        <w:pStyle w:val="9"/>
        <w:shd w:val="clear" w:color="auto" w:fill="auto"/>
        <w:spacing w:line="240" w:lineRule="auto"/>
        <w:ind w:left="40" w:right="62" w:firstLine="851"/>
        <w:jc w:val="both"/>
        <w:rPr>
          <w:color w:val="000000" w:themeColor="text1"/>
          <w:sz w:val="24"/>
          <w:szCs w:val="24"/>
        </w:rPr>
      </w:pPr>
      <w:r>
        <w:rPr>
          <w:color w:val="000000" w:themeColor="text1"/>
          <w:sz w:val="24"/>
          <w:szCs w:val="24"/>
        </w:rPr>
        <w:t>При наличии оснований для назначения работнику Учреждения, выплат, предусмотренных абзацем третьим и четвертым настоящего подпункта, надбавка работнику Учреждения, устанавливается по одному из оснований по выбору работника.</w:t>
      </w:r>
    </w:p>
    <w:p w14:paraId="554C126A">
      <w:pPr>
        <w:pStyle w:val="9"/>
        <w:shd w:val="clear" w:color="auto" w:fill="auto"/>
        <w:spacing w:line="240" w:lineRule="auto"/>
        <w:ind w:left="40" w:right="62" w:firstLine="851"/>
        <w:jc w:val="both"/>
        <w:rPr>
          <w:color w:val="000000" w:themeColor="text1"/>
          <w:sz w:val="24"/>
          <w:szCs w:val="24"/>
        </w:rPr>
      </w:pPr>
      <w:r>
        <w:rPr>
          <w:color w:val="000000" w:themeColor="text1"/>
          <w:sz w:val="24"/>
          <w:szCs w:val="24"/>
        </w:rPr>
        <w:t>Совокупный размер выплат, установленных работнику Учреждения, в соответствии с  подпунктом 3.5 не должен превышать 100 процентов к окладу (должностному окладу), ставки заработной платы.</w:t>
      </w:r>
    </w:p>
    <w:p w14:paraId="7DFD6A0E">
      <w:pPr>
        <w:pStyle w:val="9"/>
        <w:shd w:val="clear" w:color="auto" w:fill="auto"/>
        <w:spacing w:line="240" w:lineRule="auto"/>
        <w:ind w:left="40" w:right="62" w:firstLine="851"/>
        <w:jc w:val="both"/>
        <w:rPr>
          <w:color w:val="000000" w:themeColor="text1"/>
          <w:sz w:val="24"/>
          <w:szCs w:val="24"/>
        </w:rPr>
      </w:pPr>
      <w:r>
        <w:rPr>
          <w:color w:val="000000" w:themeColor="text1"/>
          <w:sz w:val="24"/>
          <w:szCs w:val="24"/>
        </w:rPr>
        <w:t xml:space="preserve">«2) выплата за работу с отдельными видами документов: за работу с архивными документами, книжными памятниками, обязательным экземпляром документов Зиминского районного муниципального образования, документами при формировании номенклатуры дел - в размере не менее  5 процентов. </w:t>
      </w:r>
    </w:p>
    <w:p w14:paraId="6850901C">
      <w:pPr>
        <w:pStyle w:val="9"/>
        <w:shd w:val="clear" w:color="auto" w:fill="auto"/>
        <w:spacing w:line="240" w:lineRule="auto"/>
        <w:ind w:left="40" w:right="62" w:firstLine="851"/>
        <w:jc w:val="both"/>
        <w:rPr>
          <w:rStyle w:val="22"/>
          <w:b w:val="0"/>
          <w:color w:val="000000" w:themeColor="text1"/>
          <w:sz w:val="24"/>
          <w:szCs w:val="24"/>
        </w:rPr>
      </w:pPr>
      <w:r>
        <w:rPr>
          <w:rStyle w:val="22"/>
          <w:color w:val="000000" w:themeColor="text1"/>
          <w:sz w:val="24"/>
          <w:szCs w:val="24"/>
        </w:rPr>
        <w:t>3.4. К выплатам за профессиональное развитие, степень самостоятельности работника и важности, выполняемых им работ относятся следующие выплаты:</w:t>
      </w:r>
      <w:bookmarkEnd w:id="3"/>
    </w:p>
    <w:p w14:paraId="7D84056A">
      <w:pPr>
        <w:pStyle w:val="15"/>
        <w:keepNext/>
        <w:keepLines/>
        <w:shd w:val="clear" w:color="auto" w:fill="auto"/>
        <w:spacing w:line="240" w:lineRule="auto"/>
        <w:ind w:right="62" w:firstLine="851"/>
        <w:jc w:val="both"/>
        <w:rPr>
          <w:color w:val="000000" w:themeColor="text1"/>
          <w:sz w:val="24"/>
          <w:szCs w:val="24"/>
        </w:rPr>
      </w:pPr>
      <w:r>
        <w:rPr>
          <w:rStyle w:val="22"/>
          <w:b w:val="0"/>
          <w:bCs w:val="0"/>
          <w:color w:val="000000" w:themeColor="text1"/>
          <w:sz w:val="24"/>
          <w:szCs w:val="24"/>
        </w:rPr>
        <w:t>1) выплаты работникам учреждений за почетные  звания</w:t>
      </w:r>
      <w:r>
        <w:rPr>
          <w:color w:val="000000" w:themeColor="text1"/>
          <w:sz w:val="24"/>
          <w:szCs w:val="24"/>
        </w:rPr>
        <w:t>:</w:t>
      </w:r>
    </w:p>
    <w:p w14:paraId="7C1C02A4">
      <w:pPr>
        <w:autoSpaceDE w:val="0"/>
        <w:autoSpaceDN w:val="0"/>
        <w:adjustRightInd w:val="0"/>
        <w:spacing w:after="0" w:line="240" w:lineRule="auto"/>
        <w:ind w:right="62" w:firstLine="851"/>
        <w:jc w:val="both"/>
        <w:rPr>
          <w:rFonts w:ascii="Times New Roman" w:hAnsi="Times New Roman"/>
          <w:color w:val="000000" w:themeColor="text1"/>
          <w:sz w:val="24"/>
          <w:szCs w:val="24"/>
        </w:rPr>
      </w:pPr>
      <w:r>
        <w:rPr>
          <w:rFonts w:ascii="Times New Roman" w:hAnsi="Times New Roman"/>
          <w:color w:val="000000" w:themeColor="text1"/>
          <w:sz w:val="24"/>
          <w:szCs w:val="24"/>
        </w:rPr>
        <w:t>«Народный артист СССР», «Народный артист РСФСО», «Народный артист Российской Федерации», «Народный художник СССР», «Народный художник РСФСР», «Народный художник Российской Федерации» и (или) звание «Народный (с указанием профессии)», соответствующее исполняемой работником трудовой функции - в размере не менее 25 процентов;</w:t>
      </w:r>
    </w:p>
    <w:p w14:paraId="460EFA3E">
      <w:pPr>
        <w:pStyle w:val="9"/>
        <w:shd w:val="clear" w:color="auto" w:fill="auto"/>
        <w:spacing w:line="240" w:lineRule="auto"/>
        <w:ind w:left="40" w:right="62" w:firstLine="851"/>
        <w:jc w:val="both"/>
        <w:rPr>
          <w:i/>
          <w:color w:val="000000" w:themeColor="text1"/>
          <w:sz w:val="24"/>
          <w:szCs w:val="24"/>
        </w:rPr>
      </w:pPr>
      <w:r>
        <w:rPr>
          <w:color w:val="000000" w:themeColor="text1"/>
          <w:sz w:val="24"/>
          <w:szCs w:val="24"/>
        </w:rPr>
        <w:t>«Заслуженный деятель искусств РСФСР», «Заслуженный деятель искусств Российской Федерации», «Заслуженный работник культуры РСФСР», «Заслуженный работник культуры Российской Федерации», и (или) звание «Заслуженный (с указанием профессии)», соответствующее исполняемой работником трудовой функции - в размере не менее 20 процентов;</w:t>
      </w:r>
    </w:p>
    <w:p w14:paraId="1E4547C4">
      <w:pPr>
        <w:pStyle w:val="9"/>
        <w:shd w:val="clear" w:color="auto" w:fill="auto"/>
        <w:tabs>
          <w:tab w:val="left" w:pos="986"/>
        </w:tabs>
        <w:spacing w:line="240" w:lineRule="auto"/>
        <w:ind w:right="62" w:firstLine="851"/>
        <w:jc w:val="both"/>
        <w:rPr>
          <w:color w:val="000000" w:themeColor="text1"/>
          <w:sz w:val="24"/>
          <w:szCs w:val="24"/>
        </w:rPr>
      </w:pPr>
      <w:r>
        <w:rPr>
          <w:color w:val="000000" w:themeColor="text1"/>
          <w:sz w:val="24"/>
          <w:szCs w:val="24"/>
        </w:rPr>
        <w:t xml:space="preserve">2) исключен </w:t>
      </w:r>
    </w:p>
    <w:p w14:paraId="6BAD895C">
      <w:pPr>
        <w:pStyle w:val="9"/>
        <w:shd w:val="clear" w:color="auto" w:fill="auto"/>
        <w:tabs>
          <w:tab w:val="left" w:pos="912"/>
        </w:tabs>
        <w:spacing w:line="240" w:lineRule="auto"/>
        <w:ind w:right="62" w:firstLine="851"/>
        <w:jc w:val="both"/>
        <w:rPr>
          <w:color w:val="000000" w:themeColor="text1"/>
          <w:sz w:val="24"/>
          <w:szCs w:val="24"/>
        </w:rPr>
      </w:pPr>
      <w:r>
        <w:rPr>
          <w:color w:val="000000" w:themeColor="text1"/>
          <w:sz w:val="24"/>
          <w:szCs w:val="24"/>
        </w:rPr>
        <w:t>3) выплаты работникам учреждений за личные заслуги устанавливаются при:</w:t>
      </w:r>
    </w:p>
    <w:p w14:paraId="4627690B">
      <w:pPr>
        <w:pStyle w:val="9"/>
        <w:shd w:val="clear" w:color="auto" w:fill="auto"/>
        <w:spacing w:line="240" w:lineRule="auto"/>
        <w:ind w:right="62" w:firstLine="851"/>
        <w:jc w:val="both"/>
        <w:rPr>
          <w:color w:val="000000" w:themeColor="text1"/>
          <w:sz w:val="24"/>
          <w:szCs w:val="24"/>
        </w:rPr>
      </w:pPr>
      <w:r>
        <w:rPr>
          <w:color w:val="000000" w:themeColor="text1"/>
          <w:sz w:val="24"/>
          <w:szCs w:val="24"/>
        </w:rPr>
        <w:t>поощрении Президентом Российской Федерации, Правительством Российской Федерации, присвоении работнику почетных званий Российской Федерации, награждении работника знаками отличия Российской Федерации, награждении работника орденами и медалями Российской Федерации - в размере не менее 15 процентов;</w:t>
      </w:r>
    </w:p>
    <w:p w14:paraId="61FBDB9E">
      <w:pPr>
        <w:pStyle w:val="9"/>
        <w:shd w:val="clear" w:color="auto" w:fill="auto"/>
        <w:spacing w:line="240" w:lineRule="auto"/>
        <w:ind w:right="62" w:firstLine="851"/>
        <w:jc w:val="both"/>
        <w:rPr>
          <w:color w:val="000000" w:themeColor="text1"/>
          <w:sz w:val="24"/>
          <w:szCs w:val="24"/>
        </w:rPr>
      </w:pPr>
    </w:p>
    <w:p w14:paraId="0B0182AA">
      <w:pPr>
        <w:spacing w:after="0"/>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при награждении ведомственными наградами Министерства культуры Российской Федерации - в размере не менее 10 процентов на период 3 последовательных календарных месяцев, начиная с месяца предоставления в учреждение решения о награждении;</w:t>
      </w:r>
    </w:p>
    <w:p w14:paraId="1A4FF3E7">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при поощрении Министерством культуры и архивов Иркутской области - в размере не менее 5 процентов на период 3 последовательных календарных месяцев, начина с месяца представления в учреждение решения о поощрении;</w:t>
      </w:r>
    </w:p>
    <w:p w14:paraId="59967C3B">
      <w:pPr>
        <w:spacing w:after="0"/>
        <w:ind w:firstLine="708"/>
        <w:jc w:val="both"/>
        <w:rPr>
          <w:rFonts w:ascii="Times New Roman" w:hAnsi="Times New Roman"/>
          <w:sz w:val="24"/>
          <w:szCs w:val="24"/>
        </w:rPr>
      </w:pPr>
      <w:r>
        <w:rPr>
          <w:rFonts w:ascii="Times New Roman" w:hAnsi="Times New Roman"/>
          <w:color w:val="000000" w:themeColor="text1"/>
          <w:sz w:val="24"/>
          <w:szCs w:val="24"/>
        </w:rPr>
        <w:t>работникам учреждений, имеющим звание лауреата Губернатора Иркутской области - в размере не менее 10 процентов на срок 6 последовательны</w:t>
      </w:r>
      <w:r>
        <w:rPr>
          <w:rFonts w:ascii="Times New Roman" w:hAnsi="Times New Roman"/>
          <w:sz w:val="24"/>
          <w:szCs w:val="24"/>
        </w:rPr>
        <w:t>х календарных месяцев, начиная с месяца, в котором принят правовой акт (решение) о присуждении премии Губернатора Иркутской области;</w:t>
      </w:r>
    </w:p>
    <w:p w14:paraId="3B004E98">
      <w:pPr>
        <w:spacing w:after="0"/>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работникам учреждений, награжденным наградами Иркутской области - в размере не менее 10 процентов; </w:t>
      </w:r>
    </w:p>
    <w:p w14:paraId="115D76EA">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работникам учреждений, имеющим почетные звания Иркутской области в соответствии с осуществляемой в учреждении трудовой функцией - в размере не менее 10 процентов;</w:t>
      </w:r>
    </w:p>
    <w:p w14:paraId="633B1C09">
      <w:pPr>
        <w:spacing w:after="0"/>
        <w:jc w:val="both"/>
        <w:rPr>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работникам учреждений - личным лауреатам областных, межрегиональных, всероссийских и международных выставок и конкурсов (фестивалей, смотров, иных мероприятий, имеющих состязательный характер) в области культуры и искусства - в размере не менее 5 процентов на срок 3 последовательных календарных месяцев, начиная с месяца, в котором принят правовой акт (решение) о подведении итогов выставки, конкурса (фестиваля, смотра, иного мероприятия).»;</w:t>
      </w:r>
    </w:p>
    <w:p w14:paraId="1371086E">
      <w:pPr>
        <w:autoSpaceDE w:val="0"/>
        <w:autoSpaceDN w:val="0"/>
        <w:adjustRightInd w:val="0"/>
        <w:spacing w:after="0" w:line="240" w:lineRule="auto"/>
        <w:ind w:right="62" w:firstLine="851"/>
        <w:jc w:val="both"/>
        <w:rPr>
          <w:rFonts w:ascii="Times New Roman" w:hAnsi="Times New Roman"/>
          <w:color w:val="000000" w:themeColor="text1"/>
          <w:sz w:val="24"/>
          <w:szCs w:val="24"/>
        </w:rPr>
      </w:pPr>
      <w:r>
        <w:rPr>
          <w:rFonts w:ascii="Times New Roman" w:hAnsi="Times New Roman"/>
          <w:color w:val="000000" w:themeColor="text1"/>
          <w:sz w:val="24"/>
          <w:szCs w:val="24"/>
        </w:rPr>
        <w:t>4) за категорию (квалификационную, должностную, профессиональную), если категорирование должностей (профессий) предусмотрены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утвержденных министерством труда и социального развития Российской Федерации, иными нормативными правовыми актами Российской Федерации – в следующих размерах:</w:t>
      </w:r>
    </w:p>
    <w:p w14:paraId="054EFA85">
      <w:pPr>
        <w:autoSpaceDE w:val="0"/>
        <w:autoSpaceDN w:val="0"/>
        <w:adjustRightInd w:val="0"/>
        <w:spacing w:after="0" w:line="240" w:lineRule="auto"/>
        <w:ind w:right="62" w:firstLine="851"/>
        <w:jc w:val="both"/>
        <w:rPr>
          <w:rFonts w:ascii="Times New Roman" w:hAnsi="Times New Roman"/>
          <w:color w:val="000000" w:themeColor="text1"/>
          <w:sz w:val="24"/>
          <w:szCs w:val="24"/>
        </w:rPr>
      </w:pPr>
      <w:r>
        <w:rPr>
          <w:rFonts w:ascii="Times New Roman" w:hAnsi="Times New Roman"/>
          <w:color w:val="000000" w:themeColor="text1"/>
          <w:sz w:val="24"/>
          <w:szCs w:val="24"/>
        </w:rPr>
        <w:t>работникам МКУК «КДЦ Филипповского МО», должности которых согласно приложению 2 к настоящему Положению включены в перечень должностей работников библиотек,   учреждений клубного типа  перечень должностей работников учреждения:</w:t>
      </w:r>
    </w:p>
    <w:p w14:paraId="53650317">
      <w:pPr>
        <w:autoSpaceDE w:val="0"/>
        <w:autoSpaceDN w:val="0"/>
        <w:adjustRightInd w:val="0"/>
        <w:spacing w:after="0" w:line="240" w:lineRule="auto"/>
        <w:ind w:left="-142" w:right="62" w:firstLine="993"/>
        <w:jc w:val="both"/>
        <w:rPr>
          <w:rFonts w:ascii="Times New Roman" w:hAnsi="Times New Roman"/>
          <w:color w:val="000000" w:themeColor="text1"/>
          <w:sz w:val="24"/>
          <w:szCs w:val="24"/>
        </w:rPr>
      </w:pPr>
      <w:r>
        <w:rPr>
          <w:rFonts w:ascii="Times New Roman" w:hAnsi="Times New Roman"/>
          <w:color w:val="000000" w:themeColor="text1"/>
          <w:sz w:val="24"/>
          <w:szCs w:val="24"/>
        </w:rPr>
        <w:t>ведущий, главный научный сотрудник библиотеки  – в размере 20 процентов;</w:t>
      </w:r>
    </w:p>
    <w:p w14:paraId="006F1A0F">
      <w:pPr>
        <w:autoSpaceDE w:val="0"/>
        <w:autoSpaceDN w:val="0"/>
        <w:adjustRightInd w:val="0"/>
        <w:spacing w:after="0" w:line="240" w:lineRule="auto"/>
        <w:ind w:left="-142" w:right="62" w:firstLine="993"/>
        <w:jc w:val="both"/>
        <w:rPr>
          <w:rFonts w:ascii="Times New Roman" w:hAnsi="Times New Roman"/>
          <w:color w:val="000000" w:themeColor="text1"/>
          <w:sz w:val="24"/>
          <w:szCs w:val="24"/>
        </w:rPr>
      </w:pPr>
      <w:r>
        <w:rPr>
          <w:rFonts w:ascii="Times New Roman" w:hAnsi="Times New Roman"/>
          <w:color w:val="000000" w:themeColor="text1"/>
          <w:sz w:val="24"/>
          <w:szCs w:val="24"/>
        </w:rPr>
        <w:t>высшей категории,  старший научный сотрудник библиотеки  – в размере 15 процентов;</w:t>
      </w:r>
    </w:p>
    <w:p w14:paraId="21FB05FA">
      <w:pPr>
        <w:autoSpaceDE w:val="0"/>
        <w:autoSpaceDN w:val="0"/>
        <w:adjustRightInd w:val="0"/>
        <w:spacing w:after="0" w:line="240" w:lineRule="auto"/>
        <w:ind w:left="-142" w:right="62" w:firstLine="993"/>
        <w:jc w:val="both"/>
        <w:rPr>
          <w:rFonts w:ascii="Times New Roman" w:hAnsi="Times New Roman"/>
          <w:color w:val="000000" w:themeColor="text1"/>
          <w:sz w:val="24"/>
          <w:szCs w:val="24"/>
        </w:rPr>
      </w:pPr>
      <w:r>
        <w:rPr>
          <w:rFonts w:ascii="Times New Roman" w:hAnsi="Times New Roman"/>
          <w:color w:val="000000" w:themeColor="text1"/>
          <w:sz w:val="24"/>
          <w:szCs w:val="24"/>
        </w:rPr>
        <w:t>первой категории, научный сотрудник библиотеки  – в размере 10 процентов;</w:t>
      </w:r>
    </w:p>
    <w:p w14:paraId="4CC30ABA">
      <w:pPr>
        <w:autoSpaceDE w:val="0"/>
        <w:autoSpaceDN w:val="0"/>
        <w:adjustRightInd w:val="0"/>
        <w:spacing w:after="0" w:line="240" w:lineRule="auto"/>
        <w:ind w:left="-142" w:right="62" w:firstLine="993"/>
        <w:jc w:val="both"/>
        <w:rPr>
          <w:rFonts w:ascii="Times New Roman" w:hAnsi="Times New Roman"/>
          <w:color w:val="000000" w:themeColor="text1"/>
          <w:sz w:val="24"/>
          <w:szCs w:val="24"/>
        </w:rPr>
      </w:pPr>
      <w:r>
        <w:rPr>
          <w:rFonts w:ascii="Times New Roman" w:hAnsi="Times New Roman"/>
          <w:color w:val="000000" w:themeColor="text1"/>
          <w:sz w:val="24"/>
          <w:szCs w:val="24"/>
        </w:rPr>
        <w:t>второй категории,  младший научный сотрудник библиотеки  – в размере 5 процентов;</w:t>
      </w:r>
    </w:p>
    <w:p w14:paraId="0C2D411F">
      <w:pPr>
        <w:autoSpaceDE w:val="0"/>
        <w:autoSpaceDN w:val="0"/>
        <w:adjustRightInd w:val="0"/>
        <w:spacing w:after="0" w:line="240" w:lineRule="auto"/>
        <w:ind w:left="-142" w:right="62" w:firstLine="993"/>
        <w:jc w:val="both"/>
        <w:rPr>
          <w:rFonts w:ascii="Times New Roman" w:hAnsi="Times New Roman"/>
          <w:color w:val="000000" w:themeColor="text1"/>
          <w:sz w:val="24"/>
          <w:szCs w:val="24"/>
        </w:rPr>
      </w:pPr>
      <w:r>
        <w:rPr>
          <w:rFonts w:ascii="Times New Roman" w:hAnsi="Times New Roman"/>
          <w:color w:val="000000" w:themeColor="text1"/>
          <w:sz w:val="24"/>
          <w:szCs w:val="24"/>
        </w:rPr>
        <w:t>работникам Учреждения, должности (профессии) которых не включены в приложение 2 к настоящему Положению:</w:t>
      </w:r>
    </w:p>
    <w:p w14:paraId="69E8D4C9">
      <w:pPr>
        <w:autoSpaceDE w:val="0"/>
        <w:autoSpaceDN w:val="0"/>
        <w:adjustRightInd w:val="0"/>
        <w:spacing w:after="0" w:line="240" w:lineRule="auto"/>
        <w:ind w:left="-142" w:right="62" w:firstLine="993"/>
        <w:jc w:val="both"/>
        <w:rPr>
          <w:rFonts w:ascii="Times New Roman" w:hAnsi="Times New Roman"/>
          <w:color w:val="000000" w:themeColor="text1"/>
          <w:sz w:val="24"/>
          <w:szCs w:val="24"/>
        </w:rPr>
      </w:pPr>
      <w:r>
        <w:rPr>
          <w:rFonts w:ascii="Times New Roman" w:hAnsi="Times New Roman"/>
          <w:color w:val="000000" w:themeColor="text1"/>
          <w:sz w:val="24"/>
          <w:szCs w:val="24"/>
        </w:rPr>
        <w:t>главный (за исключением должности главный бухгалтер) – в размере 25 процентов;</w:t>
      </w:r>
    </w:p>
    <w:p w14:paraId="2688CEBA">
      <w:pPr>
        <w:autoSpaceDE w:val="0"/>
        <w:autoSpaceDN w:val="0"/>
        <w:adjustRightInd w:val="0"/>
        <w:spacing w:after="0" w:line="240" w:lineRule="auto"/>
        <w:ind w:left="-142" w:right="62" w:firstLine="993"/>
        <w:jc w:val="both"/>
        <w:rPr>
          <w:rFonts w:ascii="Times New Roman" w:hAnsi="Times New Roman"/>
          <w:color w:val="000000" w:themeColor="text1"/>
          <w:sz w:val="24"/>
          <w:szCs w:val="24"/>
        </w:rPr>
      </w:pPr>
      <w:r>
        <w:rPr>
          <w:rFonts w:ascii="Times New Roman" w:hAnsi="Times New Roman"/>
          <w:color w:val="000000" w:themeColor="text1"/>
          <w:sz w:val="24"/>
          <w:szCs w:val="24"/>
        </w:rPr>
        <w:t>ведущий – в размере 20 процентов;</w:t>
      </w:r>
    </w:p>
    <w:p w14:paraId="1F5C2DBA">
      <w:pPr>
        <w:autoSpaceDE w:val="0"/>
        <w:autoSpaceDN w:val="0"/>
        <w:adjustRightInd w:val="0"/>
        <w:spacing w:after="0" w:line="240" w:lineRule="auto"/>
        <w:ind w:left="-142" w:right="62" w:firstLine="993"/>
        <w:jc w:val="both"/>
        <w:rPr>
          <w:rFonts w:ascii="Times New Roman" w:hAnsi="Times New Roman"/>
          <w:color w:val="000000" w:themeColor="text1"/>
          <w:sz w:val="24"/>
          <w:szCs w:val="24"/>
        </w:rPr>
      </w:pPr>
      <w:r>
        <w:rPr>
          <w:rFonts w:ascii="Times New Roman" w:hAnsi="Times New Roman"/>
          <w:color w:val="000000" w:themeColor="text1"/>
          <w:sz w:val="24"/>
          <w:szCs w:val="24"/>
        </w:rPr>
        <w:t>высшей категории (класса) – в размере 15 процентов;</w:t>
      </w:r>
    </w:p>
    <w:p w14:paraId="6F8FE010">
      <w:pPr>
        <w:autoSpaceDE w:val="0"/>
        <w:autoSpaceDN w:val="0"/>
        <w:adjustRightInd w:val="0"/>
        <w:spacing w:after="0" w:line="240" w:lineRule="auto"/>
        <w:ind w:left="-142" w:right="62" w:firstLine="993"/>
        <w:jc w:val="both"/>
        <w:rPr>
          <w:rFonts w:ascii="Times New Roman" w:hAnsi="Times New Roman"/>
          <w:color w:val="000000" w:themeColor="text1"/>
          <w:sz w:val="24"/>
          <w:szCs w:val="24"/>
        </w:rPr>
      </w:pPr>
      <w:r>
        <w:rPr>
          <w:rFonts w:ascii="Times New Roman" w:hAnsi="Times New Roman"/>
          <w:color w:val="000000" w:themeColor="text1"/>
          <w:sz w:val="24"/>
          <w:szCs w:val="24"/>
        </w:rPr>
        <w:t>первой категории (класса) – в размере 10 процентов;</w:t>
      </w:r>
    </w:p>
    <w:p w14:paraId="660D55C5">
      <w:pPr>
        <w:autoSpaceDE w:val="0"/>
        <w:autoSpaceDN w:val="0"/>
        <w:adjustRightInd w:val="0"/>
        <w:spacing w:after="0" w:line="240" w:lineRule="auto"/>
        <w:ind w:left="-142" w:right="62" w:firstLine="993"/>
        <w:jc w:val="both"/>
        <w:rPr>
          <w:rFonts w:ascii="Times New Roman" w:hAnsi="Times New Roman"/>
          <w:color w:val="000000" w:themeColor="text1"/>
          <w:sz w:val="24"/>
          <w:szCs w:val="24"/>
        </w:rPr>
      </w:pPr>
      <w:r>
        <w:rPr>
          <w:rFonts w:ascii="Times New Roman" w:hAnsi="Times New Roman"/>
          <w:color w:val="000000" w:themeColor="text1"/>
          <w:sz w:val="24"/>
          <w:szCs w:val="24"/>
        </w:rPr>
        <w:t>второй категории (класса) – в размере 5 процентов;</w:t>
      </w:r>
    </w:p>
    <w:p w14:paraId="4A5713D5">
      <w:pPr>
        <w:autoSpaceDE w:val="0"/>
        <w:autoSpaceDN w:val="0"/>
        <w:adjustRightInd w:val="0"/>
        <w:spacing w:after="0" w:line="240" w:lineRule="auto"/>
        <w:ind w:left="-142" w:right="62" w:firstLine="993"/>
        <w:jc w:val="both"/>
        <w:rPr>
          <w:rFonts w:ascii="Times New Roman" w:hAnsi="Times New Roman"/>
          <w:color w:val="000000" w:themeColor="text1"/>
          <w:sz w:val="24"/>
          <w:szCs w:val="24"/>
        </w:rPr>
      </w:pPr>
      <w:r>
        <w:rPr>
          <w:rFonts w:ascii="Times New Roman" w:hAnsi="Times New Roman"/>
          <w:color w:val="000000" w:themeColor="text1"/>
          <w:sz w:val="24"/>
          <w:szCs w:val="24"/>
        </w:rPr>
        <w:t>для должностей без применения категории (класса) - выплата не устанавливается.</w:t>
      </w:r>
    </w:p>
    <w:p w14:paraId="0582EC87">
      <w:pPr>
        <w:autoSpaceDE w:val="0"/>
        <w:autoSpaceDN w:val="0"/>
        <w:adjustRightInd w:val="0"/>
        <w:spacing w:after="0" w:line="240" w:lineRule="auto"/>
        <w:ind w:right="62" w:firstLine="851"/>
        <w:jc w:val="both"/>
        <w:rPr>
          <w:rFonts w:ascii="Times New Roman" w:hAnsi="Times New Roman"/>
          <w:color w:val="000000" w:themeColor="text1"/>
          <w:sz w:val="24"/>
          <w:szCs w:val="24"/>
        </w:rPr>
      </w:pPr>
      <w:r>
        <w:rPr>
          <w:rFonts w:ascii="Times New Roman" w:hAnsi="Times New Roman"/>
          <w:color w:val="000000" w:themeColor="text1"/>
          <w:sz w:val="24"/>
          <w:szCs w:val="24"/>
        </w:rPr>
        <w:t>для должностей без применения категории (класса) - выплата не устанавливается.</w:t>
      </w:r>
    </w:p>
    <w:p w14:paraId="738B5A2E">
      <w:pPr>
        <w:spacing w:after="0"/>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«5) надбавка молодым специалистам - в размере не менее 5 процентов устанавливается работникам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принятым на работу в соответствии с полученной квалификацией, стаж работы в соответствующем учреждении которых составляет менее трех лет.»</w:t>
      </w:r>
    </w:p>
    <w:p w14:paraId="024084BE">
      <w:pPr>
        <w:autoSpaceDE w:val="0"/>
        <w:autoSpaceDN w:val="0"/>
        <w:adjustRightInd w:val="0"/>
        <w:spacing w:after="0" w:line="240" w:lineRule="auto"/>
        <w:ind w:right="6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6) если категорирование должностей (профессий)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утвержденных министерством труда и социального развития Российской Федерации, иными нормативными правовыми актами Российской Федерации не предусмотрено:</w:t>
      </w:r>
    </w:p>
    <w:p w14:paraId="2979123C">
      <w:pPr>
        <w:autoSpaceDE w:val="0"/>
        <w:autoSpaceDN w:val="0"/>
        <w:adjustRightInd w:val="0"/>
        <w:spacing w:after="0" w:line="240" w:lineRule="auto"/>
        <w:ind w:right="62" w:firstLine="851"/>
        <w:jc w:val="both"/>
        <w:rPr>
          <w:rFonts w:ascii="Times New Roman" w:hAnsi="Times New Roman"/>
          <w:color w:val="000000" w:themeColor="text1"/>
          <w:sz w:val="24"/>
          <w:szCs w:val="24"/>
        </w:rPr>
      </w:pPr>
      <w:r>
        <w:rPr>
          <w:rFonts w:ascii="Times New Roman" w:hAnsi="Times New Roman"/>
          <w:color w:val="000000" w:themeColor="text1"/>
          <w:sz w:val="24"/>
          <w:szCs w:val="24"/>
        </w:rPr>
        <w:t>важность выполняемых работ – в размере не менее 5 процентов.</w:t>
      </w:r>
    </w:p>
    <w:p w14:paraId="1086EC39">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Важность выполняемой работы определяется как количество услуг учреждения по основной деятельности, в предоставлении которых работник принимает участие в соответствии с возложенными на него трудовым договором обязанностями;</w:t>
      </w:r>
    </w:p>
    <w:p w14:paraId="12701E2E">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 xml:space="preserve">за степень самостоятельности выполняемых работ – в </w:t>
      </w:r>
      <w:r>
        <w:rPr>
          <w:rFonts w:ascii="Times New Roman" w:hAnsi="Times New Roman"/>
          <w:color w:val="000000" w:themeColor="text1"/>
          <w:sz w:val="24"/>
          <w:szCs w:val="24"/>
        </w:rPr>
        <w:t>размере не менее 5</w:t>
      </w:r>
      <w:r>
        <w:rPr>
          <w:rFonts w:ascii="Times New Roman" w:hAnsi="Times New Roman"/>
          <w:sz w:val="24"/>
          <w:szCs w:val="24"/>
        </w:rPr>
        <w:t xml:space="preserve"> процентов.</w:t>
      </w:r>
    </w:p>
    <w:p w14:paraId="7EF85326">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Самостоятельность выполняемой работы определяется как возложение на работника функций ответственного исполнителя по одному из направлений деятельности учреждения или структурного подразделения, исполнение работником обязанностей по координации и методическому руководству группами исполнителей работ или услуг учреждения.</w:t>
      </w:r>
    </w:p>
    <w:p w14:paraId="20257EE0">
      <w:pPr>
        <w:pStyle w:val="9"/>
        <w:shd w:val="clear" w:color="auto" w:fill="auto"/>
        <w:tabs>
          <w:tab w:val="left" w:pos="988"/>
        </w:tabs>
        <w:spacing w:line="240" w:lineRule="auto"/>
        <w:ind w:right="62" w:firstLine="851"/>
        <w:jc w:val="both"/>
        <w:rPr>
          <w:b/>
          <w:sz w:val="24"/>
          <w:szCs w:val="24"/>
        </w:rPr>
      </w:pPr>
      <w:r>
        <w:rPr>
          <w:b/>
          <w:sz w:val="24"/>
          <w:szCs w:val="24"/>
        </w:rPr>
        <w:t>3.7. К премиальным выплатам по итогам работы относятся:</w:t>
      </w:r>
    </w:p>
    <w:p w14:paraId="66F05CA1">
      <w:pPr>
        <w:pStyle w:val="9"/>
        <w:shd w:val="clear" w:color="auto" w:fill="auto"/>
        <w:spacing w:line="240" w:lineRule="auto"/>
        <w:ind w:right="62" w:firstLine="851"/>
        <w:jc w:val="both"/>
        <w:rPr>
          <w:sz w:val="24"/>
          <w:szCs w:val="24"/>
        </w:rPr>
      </w:pPr>
      <w:r>
        <w:rPr>
          <w:sz w:val="24"/>
          <w:szCs w:val="24"/>
        </w:rPr>
        <w:t>- премия по итогам работы за месяц,  квартал.</w:t>
      </w:r>
    </w:p>
    <w:p w14:paraId="5577A1D4">
      <w:pPr>
        <w:pStyle w:val="9"/>
        <w:shd w:val="clear" w:color="auto" w:fill="auto"/>
        <w:tabs>
          <w:tab w:val="left" w:pos="1159"/>
        </w:tabs>
        <w:spacing w:line="240" w:lineRule="auto"/>
        <w:ind w:right="62" w:firstLine="851"/>
        <w:jc w:val="both"/>
        <w:rPr>
          <w:sz w:val="24"/>
          <w:szCs w:val="24"/>
        </w:rPr>
      </w:pPr>
      <w:r>
        <w:rPr>
          <w:sz w:val="24"/>
          <w:szCs w:val="24"/>
        </w:rPr>
        <w:t>3.8. Условием премирования работников МКУК «КДЦ Филипповского МО» за работу в календарном периоде (месяц, квартал) является отсутствие фактов применения дисциплинарных взысканий к работнику в соответствующем календарном периоде, в том числе по итогам рассмотрения обращений и заявлений граждан на некачественное оказание услуг (выполнение работ) работником, в случаях, если оказание услуг (выполнение работ) входит в должностные обязанности работника.</w:t>
      </w:r>
    </w:p>
    <w:p w14:paraId="0DE53A64">
      <w:pPr>
        <w:pStyle w:val="9"/>
        <w:shd w:val="clear" w:color="auto" w:fill="auto"/>
        <w:tabs>
          <w:tab w:val="left" w:pos="1039"/>
        </w:tabs>
        <w:spacing w:line="240" w:lineRule="auto"/>
        <w:ind w:right="62" w:firstLine="851"/>
        <w:jc w:val="both"/>
        <w:rPr>
          <w:sz w:val="24"/>
          <w:szCs w:val="24"/>
        </w:rPr>
      </w:pPr>
      <w:r>
        <w:rPr>
          <w:sz w:val="24"/>
          <w:szCs w:val="24"/>
        </w:rPr>
        <w:t>3.9. Основанием выплаты премии по итогам работы в месяц или квартал является наличие конкретных результатов исполнения своих трудовых (должностных) обязанностей, установленных соответствующими трудовыми договорами работников, исполненных качественно и в срок.</w:t>
      </w:r>
    </w:p>
    <w:p w14:paraId="714AD0FD">
      <w:pPr>
        <w:pStyle w:val="24"/>
        <w:keepNext/>
        <w:keepLines/>
        <w:shd w:val="clear" w:color="auto" w:fill="auto"/>
        <w:spacing w:before="0" w:after="250" w:line="240" w:lineRule="auto"/>
        <w:ind w:left="1300"/>
        <w:rPr>
          <w:rStyle w:val="25"/>
          <w:b/>
          <w:sz w:val="24"/>
          <w:szCs w:val="24"/>
        </w:rPr>
      </w:pPr>
      <w:bookmarkStart w:id="4" w:name="bookmark9"/>
    </w:p>
    <w:p w14:paraId="71A04444">
      <w:pPr>
        <w:pStyle w:val="24"/>
        <w:keepNext/>
        <w:keepLines/>
        <w:shd w:val="clear" w:color="auto" w:fill="auto"/>
        <w:spacing w:before="0" w:after="0" w:line="240" w:lineRule="auto"/>
        <w:ind w:left="1300"/>
        <w:rPr>
          <w:b/>
          <w:sz w:val="24"/>
          <w:szCs w:val="24"/>
        </w:rPr>
      </w:pPr>
      <w:r>
        <w:rPr>
          <w:rStyle w:val="25"/>
          <w:b/>
          <w:sz w:val="24"/>
          <w:szCs w:val="24"/>
        </w:rPr>
        <w:t>Глава 4. УСТАНОВЛЕНИЕ СТИМУЛИРУЮЩИХ ВЫПЛАТ</w:t>
      </w:r>
      <w:bookmarkEnd w:id="4"/>
    </w:p>
    <w:p w14:paraId="6015A77C">
      <w:pPr>
        <w:pStyle w:val="9"/>
        <w:shd w:val="clear" w:color="auto" w:fill="auto"/>
        <w:tabs>
          <w:tab w:val="left" w:pos="567"/>
        </w:tabs>
        <w:spacing w:line="240" w:lineRule="auto"/>
        <w:ind w:right="62" w:firstLine="851"/>
        <w:jc w:val="both"/>
        <w:rPr>
          <w:sz w:val="24"/>
          <w:szCs w:val="24"/>
        </w:rPr>
      </w:pPr>
      <w:r>
        <w:rPr>
          <w:sz w:val="24"/>
          <w:szCs w:val="24"/>
        </w:rPr>
        <w:t>4.1. Стимулирующие выплаты устанавливаются работникам, за исключением руководителя МКУК «КДЦ Филипповского МО», с учетом:</w:t>
      </w:r>
    </w:p>
    <w:p w14:paraId="2F1E5F10">
      <w:pPr>
        <w:pStyle w:val="9"/>
        <w:shd w:val="clear" w:color="auto" w:fill="auto"/>
        <w:tabs>
          <w:tab w:val="left" w:pos="945"/>
        </w:tabs>
        <w:spacing w:line="240" w:lineRule="auto"/>
        <w:ind w:right="62" w:firstLine="851"/>
        <w:jc w:val="both"/>
        <w:rPr>
          <w:sz w:val="24"/>
          <w:szCs w:val="24"/>
        </w:rPr>
      </w:pPr>
      <w:r>
        <w:rPr>
          <w:sz w:val="24"/>
          <w:szCs w:val="24"/>
        </w:rPr>
        <w:t>1) показателей и критериев эффективности деятельности работников МКУК «КДЦ Филипповского МО»;</w:t>
      </w:r>
    </w:p>
    <w:p w14:paraId="24EA69D1">
      <w:pPr>
        <w:pStyle w:val="9"/>
        <w:shd w:val="clear" w:color="auto" w:fill="auto"/>
        <w:tabs>
          <w:tab w:val="left" w:pos="943"/>
        </w:tabs>
        <w:spacing w:line="240" w:lineRule="auto"/>
        <w:ind w:right="62" w:firstLine="851"/>
        <w:jc w:val="both"/>
        <w:rPr>
          <w:sz w:val="24"/>
          <w:szCs w:val="24"/>
        </w:rPr>
      </w:pPr>
      <w:r>
        <w:rPr>
          <w:sz w:val="24"/>
          <w:szCs w:val="24"/>
        </w:rPr>
        <w:t>2) рекомендаций комиссии по определению размеров стимулирующих выплат работникам, созданной в МКУК «КДЦ Филипповского МО» с участием представительного органа работников учреждения (далее - комиссия), если иное не установлено настоящим Положением.</w:t>
      </w:r>
    </w:p>
    <w:p w14:paraId="3DCAAE24">
      <w:pPr>
        <w:pStyle w:val="9"/>
        <w:shd w:val="clear" w:color="auto" w:fill="auto"/>
        <w:tabs>
          <w:tab w:val="left" w:pos="1246"/>
        </w:tabs>
        <w:spacing w:line="240" w:lineRule="auto"/>
        <w:ind w:right="62" w:firstLine="851"/>
        <w:jc w:val="both"/>
        <w:rPr>
          <w:sz w:val="24"/>
          <w:szCs w:val="24"/>
        </w:rPr>
      </w:pPr>
      <w:r>
        <w:rPr>
          <w:sz w:val="24"/>
          <w:szCs w:val="24"/>
        </w:rPr>
        <w:t>4.2. Порядок установления стимулирующих выплат руководителю МКУК «КДЦ Филипповского МО» устанавливается главой 5 настоящего Положения.</w:t>
      </w:r>
    </w:p>
    <w:p w14:paraId="3F3729F8">
      <w:pPr>
        <w:pStyle w:val="9"/>
        <w:shd w:val="clear" w:color="auto" w:fill="auto"/>
        <w:tabs>
          <w:tab w:val="left" w:pos="1111"/>
        </w:tabs>
        <w:spacing w:line="240" w:lineRule="auto"/>
        <w:ind w:right="62" w:firstLine="851"/>
        <w:jc w:val="both"/>
        <w:rPr>
          <w:sz w:val="24"/>
          <w:szCs w:val="24"/>
        </w:rPr>
      </w:pPr>
      <w:r>
        <w:rPr>
          <w:sz w:val="24"/>
          <w:szCs w:val="24"/>
        </w:rPr>
        <w:t>4.3. Показатели и критерии эффективности деятельности работников МКУК «КДЦ Филипповского МО» определяются локальными актами по оплате труда. Показатели эффективности деятельности работников учреждений указываются в локальном акте по оплате труда МКУК «КДЦ Филипповского МО» и  в заключаемом с работником трудовом договоре.</w:t>
      </w:r>
    </w:p>
    <w:p w14:paraId="4A3067A5">
      <w:pPr>
        <w:pStyle w:val="9"/>
        <w:shd w:val="clear" w:color="auto" w:fill="auto"/>
        <w:tabs>
          <w:tab w:val="left" w:pos="1111"/>
        </w:tabs>
        <w:spacing w:line="240" w:lineRule="auto"/>
        <w:ind w:right="62" w:firstLine="851"/>
        <w:jc w:val="both"/>
        <w:rPr>
          <w:sz w:val="24"/>
          <w:szCs w:val="24"/>
        </w:rPr>
      </w:pPr>
      <w:r>
        <w:rPr>
          <w:sz w:val="24"/>
          <w:szCs w:val="24"/>
        </w:rPr>
        <w:t>Состав и порядок работы комиссии по определению размеров стимулирующих выплат утверждается локальными актами МКУК «КДЦ Филипповского МО».</w:t>
      </w:r>
    </w:p>
    <w:p w14:paraId="0BAFF12A">
      <w:pPr>
        <w:pStyle w:val="9"/>
        <w:shd w:val="clear" w:color="auto" w:fill="auto"/>
        <w:spacing w:line="240" w:lineRule="auto"/>
        <w:ind w:right="62" w:firstLine="851"/>
        <w:jc w:val="both"/>
        <w:rPr>
          <w:sz w:val="24"/>
          <w:szCs w:val="24"/>
        </w:rPr>
      </w:pPr>
      <w:r>
        <w:rPr>
          <w:sz w:val="24"/>
          <w:szCs w:val="24"/>
        </w:rPr>
        <w:t>4.4. Представление по определению размеров стимулирующих выплат работникам МКУК «КДЦ Филипповского МО» (далее – представление) направляется руководителю МКУК «КДЦ Филипповского МО» руководителями структурных подразделений учреждений на работников, подчиненных руководителям соответствующих структурных подразделений МКУК «КДЦ Филипповского МО».</w:t>
      </w:r>
    </w:p>
    <w:p w14:paraId="063A73D6">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На работников, находящихся в непосредственном подчинении руководителя МКУК «КДЦ Филипповского МО», представление составляется ими самостоятельно или руководителем МКУК «КДЦ Филипповского МО», с учетом установленных настоящей главой требований.</w:t>
      </w:r>
    </w:p>
    <w:p w14:paraId="5A1435B3">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4.5. 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МКУК «КДЦ Филипповского МО», фактически отработанном каждым работником МКУК «КДЦ Филипповского МО»</w:t>
      </w:r>
      <w:r>
        <w:rPr>
          <w:sz w:val="24"/>
          <w:szCs w:val="24"/>
        </w:rPr>
        <w:t xml:space="preserve"> </w:t>
      </w:r>
      <w:r>
        <w:rPr>
          <w:rFonts w:ascii="Times New Roman" w:hAnsi="Times New Roman"/>
          <w:sz w:val="24"/>
          <w:szCs w:val="24"/>
        </w:rPr>
        <w:t>времени в календарном периоде, включая время нахождения в командировках, рекомендуемый размер выплаты стимулирующего характера.</w:t>
      </w:r>
    </w:p>
    <w:p w14:paraId="48A3D60B">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Представление составляется в свободной форме лицами, указанными в пункте 4.4 настоящего Положения на основании письменного или устного обращения работника МКУК «КДЦ Филипповского МО» об установлении стимулирующих выплат, если иное не установлено настоящим Положением.</w:t>
      </w:r>
    </w:p>
    <w:p w14:paraId="412D5D6A">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4.6. Представление составляется лицами, указанными в пункте 4.4 настоящего Положения, по собственной инициативе в случаях:</w:t>
      </w:r>
    </w:p>
    <w:p w14:paraId="353FD9F2">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1) при изменении наименований, порядка установления и размеров стимулирующих выплат, предусмотренных локальными актами об оплате труда;</w:t>
      </w:r>
    </w:p>
    <w:p w14:paraId="574210B8">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2) фактического изменения результатов (качества) выполнения должностных обязанностей работником, которое может привести к уменьшению размеров стимулирующих выплат, установленных работнику;</w:t>
      </w:r>
    </w:p>
    <w:p w14:paraId="092C2436">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3) заключения трудового договора (дополнительного соглашения к трудовому договору) с работником непосредственным руководителем структурного подразделения, в котором работник учреждения должен исполнять (исполняет) трудовые (должностные) обязанности и направляется руководителю учреждения не позднее одного рабочего дня, предшествующего подписанию трудового договора (дополнительного соглашения к трудовому договору) с работником;</w:t>
      </w:r>
    </w:p>
    <w:p w14:paraId="4CF0657F">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4) при установлении и определении размеров премиальных выплат.</w:t>
      </w:r>
    </w:p>
    <w:p w14:paraId="0B7DC55F">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4.7. Размеры стимулирующих выплат, за исключением премиальных выплат по итогам работы, устанавливаются в трудовых договорах, заключаемых с работниками учреждений, за исключением руководителей учреждений, с учетом рекомендации комиссии по определению размеров стимулирующих выплат.</w:t>
      </w:r>
    </w:p>
    <w:p w14:paraId="69438F6F">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Размеры премиальных выплат работникам учреждений, за исключением руководителя МКУК «КДЦ Филипповского МО», устанавливаются руководителем МКУК «КДЦ Филипповского МО» в локальном акте учреждения с учетом рекомендаций комиссии по определению размеров стимулирующих выплат.</w:t>
      </w:r>
    </w:p>
    <w:p w14:paraId="1AE3A581">
      <w:pPr>
        <w:pStyle w:val="9"/>
        <w:shd w:val="clear" w:color="auto" w:fill="auto"/>
        <w:tabs>
          <w:tab w:val="left" w:pos="1150"/>
        </w:tabs>
        <w:spacing w:line="240" w:lineRule="auto"/>
        <w:ind w:right="40"/>
        <w:jc w:val="both"/>
        <w:rPr>
          <w:sz w:val="24"/>
          <w:szCs w:val="24"/>
        </w:rPr>
      </w:pPr>
    </w:p>
    <w:p w14:paraId="46F6FE9D">
      <w:pPr>
        <w:pStyle w:val="9"/>
        <w:shd w:val="clear" w:color="auto" w:fill="auto"/>
        <w:spacing w:line="240" w:lineRule="auto"/>
        <w:rPr>
          <w:b/>
          <w:sz w:val="24"/>
          <w:szCs w:val="24"/>
        </w:rPr>
      </w:pPr>
      <w:r>
        <w:rPr>
          <w:b/>
          <w:sz w:val="24"/>
          <w:szCs w:val="24"/>
        </w:rPr>
        <w:t>Глава 5. ОСОБЕННОСТИ УСТАНОВЛЕНИЯ ЗАРАБОТНОЙ ПЛАТЫ РУКОВОДИТЕЛЯ УЧРЕЖДЕНИЯ</w:t>
      </w:r>
    </w:p>
    <w:p w14:paraId="562705BA">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5.1. Должностные оклады руководителя МКУК «КДЦ Филипповского МО» определяются Администрацией Филипповского муниципального образования  Зиминского района в заключаемых с ними трудовых договорах и в порядке, установленном постановлением администрации Филипповского муниципального образования от 14.06.2019 года № 30 «</w:t>
      </w:r>
      <w:r>
        <w:rPr>
          <w:rFonts w:ascii="Times New Roman" w:hAnsi="Times New Roman"/>
          <w:spacing w:val="2"/>
          <w:sz w:val="24"/>
          <w:szCs w:val="24"/>
        </w:rPr>
        <w:t xml:space="preserve">Об утверждении Порядка определения размера должностного оклада руководителя муниципального  учреждения культуры </w:t>
      </w:r>
      <w:r>
        <w:rPr>
          <w:rFonts w:ascii="Times New Roman" w:hAnsi="Times New Roman"/>
          <w:sz w:val="24"/>
          <w:szCs w:val="24"/>
        </w:rPr>
        <w:t>Филипповского  муниципального образования»,</w:t>
      </w:r>
      <w:r>
        <w:rPr>
          <w:rFonts w:ascii="Times New Roman" w:hAnsi="Times New Roman"/>
          <w:color w:val="FF0000"/>
          <w:sz w:val="24"/>
          <w:szCs w:val="24"/>
        </w:rPr>
        <w:t xml:space="preserve"> </w:t>
      </w:r>
      <w:r>
        <w:rPr>
          <w:rFonts w:ascii="Times New Roman" w:hAnsi="Times New Roman"/>
          <w:sz w:val="24"/>
          <w:szCs w:val="24"/>
        </w:rPr>
        <w:t>и составляет до 3 размеров среднего размера оклада (должностного оклада), ставки заработной платы работников, которые относятся к основному персоналу возглавляемых ими учреждений.</w:t>
      </w:r>
    </w:p>
    <w:p w14:paraId="5C03AA0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5.2. Размеры должностных окладов руководителя МКУК «КДЦ Филипповского МО» указываются в заключаемых с ними трудовых договорах.</w:t>
      </w:r>
    </w:p>
    <w:p w14:paraId="11EA41B1">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Размеры компенсационных выплат руководителю МКУК «КДЦ Филипповского МО» указываются в заключаемых с ними трудовых договорах в соответствии с главой 2 настоящего Положения.</w:t>
      </w:r>
    </w:p>
    <w:p w14:paraId="6776D12A">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5.3. Руководителю МКУК «КДЦ Филипповского МО» стимулирующие выплаты устанавливаются на основании утвержденных  Администрацией Филипповского муниципального образования  Зиминского района   показателей эффективности деятельности руководителей учреждений в виде премиальных выплат по итогам работы за месяц и квартал в процентах к должностному окладу или в абсолютных размерах.</w:t>
      </w:r>
    </w:p>
    <w:p w14:paraId="3F47672A">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5.4. Условием установления стимулирующих выплат руководителю МКУК «КДЦ Филипповского МО» является отсутствие наложенных на руководителя МКУК «КДЦ Филипповского МО» дисциплинарных взысканий, фактов привлечения руководителя МКУК «КДЦ Филипповского МО»  к административной и (или) уголовной ответственности в связи с исполнением им трудовых (должностных) обязанностей в соответствующем периоде, за который осуществляется премирование.</w:t>
      </w:r>
    </w:p>
    <w:p w14:paraId="2719A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5.5. Размеры стимулирующих выплат руководителю МКУК «КДЦ Филипповского МО»  определяются распоряжением</w:t>
      </w:r>
      <w:r>
        <w:rPr>
          <w:sz w:val="24"/>
          <w:szCs w:val="24"/>
        </w:rPr>
        <w:t xml:space="preserve"> </w:t>
      </w:r>
      <w:r>
        <w:rPr>
          <w:rFonts w:ascii="Times New Roman" w:hAnsi="Times New Roman"/>
          <w:sz w:val="24"/>
          <w:szCs w:val="24"/>
        </w:rPr>
        <w:t xml:space="preserve">Администрации Филипповского муниципального образования  Зиминского района   не позднее 5 числа месяца, следующего за месяцем, которым оканчивается соответствующий период. </w:t>
      </w:r>
    </w:p>
    <w:p w14:paraId="34E00A8F">
      <w:pPr>
        <w:pStyle w:val="9"/>
        <w:shd w:val="clear" w:color="auto" w:fill="auto"/>
        <w:spacing w:after="260" w:line="240" w:lineRule="auto"/>
        <w:rPr>
          <w:b/>
          <w:sz w:val="24"/>
          <w:szCs w:val="24"/>
        </w:rPr>
      </w:pPr>
    </w:p>
    <w:p w14:paraId="6F57C97C">
      <w:pPr>
        <w:pStyle w:val="9"/>
        <w:shd w:val="clear" w:color="auto" w:fill="auto"/>
        <w:spacing w:line="240" w:lineRule="auto"/>
        <w:rPr>
          <w:b/>
          <w:sz w:val="24"/>
          <w:szCs w:val="24"/>
        </w:rPr>
      </w:pPr>
      <w:r>
        <w:rPr>
          <w:b/>
          <w:sz w:val="24"/>
          <w:szCs w:val="24"/>
        </w:rPr>
        <w:t xml:space="preserve">Глава 6. ИНЫЕ ВОПРОСЫ ОПЛАТЫ ТРУДА    </w:t>
      </w:r>
    </w:p>
    <w:p w14:paraId="19FE46B9">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6.1.</w:t>
      </w:r>
      <w:r>
        <w:rPr>
          <w:rFonts w:ascii="Times New Roman" w:hAnsi="Times New Roman"/>
          <w:b/>
          <w:sz w:val="24"/>
          <w:szCs w:val="24"/>
        </w:rPr>
        <w:t xml:space="preserve"> </w:t>
      </w:r>
      <w:r>
        <w:rPr>
          <w:rFonts w:ascii="Times New Roman" w:hAnsi="Times New Roman"/>
          <w:sz w:val="24"/>
          <w:szCs w:val="24"/>
        </w:rPr>
        <w:t>Материальная помощь руководителю МКУК «КДЦ Филипповского МО», близким родственникам руководителя МКУК «КДЦ Филипповского МО»  (супруга (супруги), родителей, детей, родных братьев, родных сестер) выплачивается при наступлении следующих случаев:</w:t>
      </w:r>
    </w:p>
    <w:p w14:paraId="3B5263D2">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1) наступление длительной (свыше пяти рабочих дней) психотравмирующей ситуации, возникшей не по вине Администрации Филипповского муниципального образования  Зиминского района, в течение которой руководитель МКУК «КДЦ Филипповского МО»  продолжает исполнять трудовые (должностные) обязанности или за работником в соответствии с трудовым законодательством сохраняется место работы (должность): смерть или тяжелая болезнь близкого родственника (супруга (супруги), родителей, детей, родных братьев, родных сестер), совершение в отношении имущества руководителя МКУК «КДЦ Филипповского МО»  преступления;</w:t>
      </w:r>
    </w:p>
    <w:p w14:paraId="4BBBEA80">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2) причинение вреда здоровью руководителю МКУК «КДЦ Филипповского МО», возникшего не по вине Администрации Филипповского муниципального образования  Зиминского района, но в период исполнения им трудовым (должностных) обязанностей;</w:t>
      </w:r>
    </w:p>
    <w:p w14:paraId="4A6A53CE">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3) смерть руководителя МКУК «КДЦ Филипповского МО».</w:t>
      </w:r>
    </w:p>
    <w:p w14:paraId="38468DF6">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6.2. При наступлении любого из случаев, предусмотренных подпунктами 1-3 пункта 6.1 настоящего Положения, размер материальной помощи составляет от 5 до 20 тысяч рублей.</w:t>
      </w:r>
    </w:p>
    <w:p w14:paraId="2563F382">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6.3. Решение о выплате материальной помощи руководителю МКУК «КДЦ Филипповского МО» принимается Администрацией Филипповского муниципального образования  Зиминского района в течение трех рабочих дней со дня представления в Администрацию Филипповского муниципального образования  Зиминского района руководителем МКУК «КДЦ Филипповского МО»  (близкими родственниками руководителя учреждения) заявления о выплате материальной помощи с приложением документов, подтверждающих факт наступления случаев, предусмотренных пунктом 6.1 настоящего Положения.</w:t>
      </w:r>
    </w:p>
    <w:p w14:paraId="2049E9A8">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При наступлении случая, предусмотренного подпунктом 3 пункта 6.1 настоящего Положения, решение о выплате материальной помощи принимается МКУК «КДЦ Филипповского МО»  в котором исполнял трудовые (должностные) обязанности руководитель МКУК «КДЦ Филипповского МО», по заявлению близкого родственника (с приложенной к нему копией свидетельства о смерти), обратившегося за выплатой материальной помощи первым. Решение о выплате материальной помощи с указанием ее размера принимается в течение двух рабочих дней со дня поступления заявления близкого родственника в МКУК «КДЦ Филипповского МО»  и оформляется локальным актом МКУК «КДЦ Филипповского МО».</w:t>
      </w:r>
    </w:p>
    <w:p w14:paraId="29172A35">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6.4. Порядок, условия и размер выплаты материальной помощи работникам МКУК «КДЦ Филипповского МО», за исключением руководителя МКУК «КДЦ Филипповского МО», определяются коллективными договорами или локальными нормативными актами МКУК «КДЦ Филипповского МО», принятыми с учетом мнения представительных органов работников.</w:t>
      </w:r>
    </w:p>
    <w:p w14:paraId="093E435D">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Размеры выплачиваемой в соответствии с коллективными договорами, локальными нормативными актами работникам МКУК «КДЦ Филипповского МО»  материальной помощи не могут превышать размеров (максимальных размеров) материальной помощи, предусмотренных пунктом 6.2 настоящего Положения.</w:t>
      </w:r>
    </w:p>
    <w:p w14:paraId="1C7EB998">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6.5. Социальные выплаты, предусмотренные пунктами 6.1 и 6.4 настоящего Положения, в состав заработной платы работникам МКУК «КДЦ Филипповского МО», на который начисляются надбавки, предусмотренные подпунктом 2 пункта 2.2 настоящего Положения не включаются.</w:t>
      </w:r>
    </w:p>
    <w:p w14:paraId="697C6272">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 xml:space="preserve">                                                                         Приложение  № 1</w:t>
      </w:r>
    </w:p>
    <w:p w14:paraId="037337D8">
      <w:pPr>
        <w:spacing w:after="0" w:line="240" w:lineRule="auto"/>
        <w:ind w:left="5220"/>
        <w:rPr>
          <w:rFonts w:ascii="Times New Roman" w:hAnsi="Times New Roman"/>
          <w:sz w:val="24"/>
          <w:szCs w:val="24"/>
        </w:rPr>
      </w:pPr>
      <w:r>
        <w:rPr>
          <w:rFonts w:ascii="Times New Roman" w:hAnsi="Times New Roman"/>
          <w:sz w:val="24"/>
          <w:szCs w:val="24"/>
        </w:rPr>
        <w:t xml:space="preserve">к положению об оплате труда работников МКУК «КДЦ  Филипповского муниципального образования»  </w:t>
      </w:r>
    </w:p>
    <w:p w14:paraId="17F568AF">
      <w:pPr>
        <w:spacing w:after="0" w:line="240" w:lineRule="auto"/>
        <w:ind w:left="5220"/>
        <w:rPr>
          <w:rFonts w:ascii="Times New Roman" w:hAnsi="Times New Roman"/>
          <w:sz w:val="24"/>
          <w:szCs w:val="24"/>
        </w:rPr>
      </w:pPr>
    </w:p>
    <w:p w14:paraId="2745EFB2">
      <w:pPr>
        <w:spacing w:after="0" w:line="240" w:lineRule="auto"/>
        <w:ind w:left="-709" w:firstLine="709"/>
        <w:jc w:val="center"/>
        <w:rPr>
          <w:rFonts w:ascii="Times New Roman" w:hAnsi="Times New Roman"/>
          <w:sz w:val="24"/>
          <w:szCs w:val="24"/>
        </w:rPr>
      </w:pPr>
      <w:r>
        <w:rPr>
          <w:rFonts w:ascii="Times New Roman" w:hAnsi="Times New Roman"/>
          <w:sz w:val="24"/>
          <w:szCs w:val="24"/>
        </w:rPr>
        <w:t xml:space="preserve">Минимальные размеры окладов (ставок) работников муниципального казенного учреждения культуры «Культурно-досуговый центр Филипповского муниципального образования»  </w:t>
      </w:r>
    </w:p>
    <w:p w14:paraId="41C250F1">
      <w:pPr>
        <w:spacing w:line="240" w:lineRule="auto"/>
        <w:rPr>
          <w:rFonts w:ascii="Times New Roman" w:hAnsi="Times New Roman"/>
          <w:b/>
          <w:sz w:val="24"/>
          <w:szCs w:val="24"/>
        </w:rPr>
      </w:pPr>
    </w:p>
    <w:p w14:paraId="2991E2D5">
      <w:pPr>
        <w:spacing w:line="240" w:lineRule="auto"/>
        <w:jc w:val="center"/>
        <w:rPr>
          <w:rFonts w:ascii="Times New Roman" w:hAnsi="Times New Roman"/>
          <w:b/>
          <w:bCs/>
          <w:sz w:val="24"/>
          <w:szCs w:val="24"/>
        </w:rPr>
      </w:pPr>
      <w:r>
        <w:rPr>
          <w:rFonts w:ascii="Times New Roman" w:hAnsi="Times New Roman"/>
          <w:b/>
          <w:bCs/>
          <w:sz w:val="24"/>
          <w:szCs w:val="24"/>
        </w:rPr>
        <w:t>1. Профессиональные квалификационные группы должностей работников культуры, искусства и кинематографии, утвержденные Приказом Минздравсоцразвития России от 31 августа 2007г. № 570</w:t>
      </w:r>
    </w:p>
    <w:p w14:paraId="172E2FDE">
      <w:pPr>
        <w:spacing w:line="240" w:lineRule="auto"/>
        <w:jc w:val="center"/>
        <w:rPr>
          <w:rFonts w:ascii="Times New Roman" w:hAnsi="Times New Roman"/>
          <w:sz w:val="24"/>
          <w:szCs w:val="24"/>
        </w:rPr>
      </w:pPr>
    </w:p>
    <w:tbl>
      <w:tblPr>
        <w:tblStyle w:val="11"/>
        <w:tblW w:w="948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665"/>
        <w:gridCol w:w="1820"/>
      </w:tblGrid>
      <w:tr w14:paraId="309CA2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37" w:hRule="atLeast"/>
        </w:trPr>
        <w:tc>
          <w:tcPr>
            <w:tcW w:w="9485" w:type="dxa"/>
            <w:gridSpan w:val="2"/>
          </w:tcPr>
          <w:p w14:paraId="4F4067BB">
            <w:pPr>
              <w:spacing w:after="0" w:line="240" w:lineRule="auto"/>
              <w:jc w:val="center"/>
              <w:rPr>
                <w:rFonts w:ascii="Times New Roman" w:hAnsi="Times New Roman"/>
                <w:b/>
                <w:bCs/>
                <w:szCs w:val="24"/>
              </w:rPr>
            </w:pPr>
            <w:r>
              <w:rPr>
                <w:rFonts w:ascii="Times New Roman" w:hAnsi="Times New Roman"/>
                <w:b/>
                <w:bCs/>
                <w:szCs w:val="24"/>
              </w:rPr>
              <w:t>Профессиональная квалификационная группа "Должности работников культуры, искусства и кинематографии среднего звена"</w:t>
            </w:r>
          </w:p>
        </w:tc>
      </w:tr>
      <w:tr w14:paraId="15EA8E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5" w:hRule="atLeast"/>
        </w:trPr>
        <w:tc>
          <w:tcPr>
            <w:tcW w:w="7665" w:type="dxa"/>
          </w:tcPr>
          <w:p w14:paraId="315914EB">
            <w:pPr>
              <w:spacing w:after="0" w:line="240" w:lineRule="auto"/>
              <w:rPr>
                <w:rFonts w:ascii="Times New Roman" w:hAnsi="Times New Roman"/>
                <w:bCs/>
                <w:szCs w:val="24"/>
              </w:rPr>
            </w:pPr>
            <w:r>
              <w:rPr>
                <w:rFonts w:ascii="Times New Roman" w:hAnsi="Times New Roman"/>
                <w:szCs w:val="24"/>
              </w:rPr>
              <w:t>Аккомпаниатор</w:t>
            </w:r>
          </w:p>
        </w:tc>
        <w:tc>
          <w:tcPr>
            <w:tcW w:w="1820" w:type="dxa"/>
            <w:vMerge w:val="restart"/>
          </w:tcPr>
          <w:p w14:paraId="501B9CAF">
            <w:pPr>
              <w:spacing w:after="0" w:line="240" w:lineRule="auto"/>
              <w:jc w:val="center"/>
              <w:rPr>
                <w:rFonts w:ascii="Times New Roman" w:hAnsi="Times New Roman"/>
                <w:b/>
                <w:bCs/>
                <w:szCs w:val="24"/>
                <w:lang w:val="en-US"/>
              </w:rPr>
            </w:pPr>
            <w:r>
              <w:rPr>
                <w:rFonts w:ascii="Times New Roman" w:hAnsi="Times New Roman"/>
                <w:b/>
                <w:bCs/>
                <w:szCs w:val="24"/>
              </w:rPr>
              <w:t>14 594</w:t>
            </w:r>
          </w:p>
        </w:tc>
      </w:tr>
      <w:tr w14:paraId="54DA2E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5" w:hRule="atLeast"/>
        </w:trPr>
        <w:tc>
          <w:tcPr>
            <w:tcW w:w="7665" w:type="dxa"/>
          </w:tcPr>
          <w:p w14:paraId="5506C9C9">
            <w:pPr>
              <w:spacing w:after="0" w:line="240" w:lineRule="auto"/>
              <w:rPr>
                <w:rFonts w:ascii="Times New Roman" w:hAnsi="Times New Roman"/>
                <w:szCs w:val="24"/>
              </w:rPr>
            </w:pPr>
            <w:r>
              <w:rPr>
                <w:rFonts w:ascii="Times New Roman" w:hAnsi="Times New Roman"/>
                <w:szCs w:val="24"/>
              </w:rPr>
              <w:t>Культорганизатор</w:t>
            </w:r>
          </w:p>
        </w:tc>
        <w:tc>
          <w:tcPr>
            <w:tcW w:w="1820" w:type="dxa"/>
            <w:vMerge w:val="continue"/>
          </w:tcPr>
          <w:p w14:paraId="3A2E0B9E">
            <w:pPr>
              <w:spacing w:after="0" w:line="240" w:lineRule="auto"/>
              <w:jc w:val="center"/>
              <w:rPr>
                <w:b/>
                <w:bCs/>
                <w:szCs w:val="24"/>
              </w:rPr>
            </w:pPr>
          </w:p>
        </w:tc>
      </w:tr>
      <w:tr w14:paraId="2D27ED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9" w:hRule="atLeast"/>
        </w:trPr>
        <w:tc>
          <w:tcPr>
            <w:tcW w:w="7665" w:type="dxa"/>
          </w:tcPr>
          <w:p w14:paraId="1D73B727">
            <w:pPr>
              <w:spacing w:after="0" w:line="240" w:lineRule="auto"/>
              <w:rPr>
                <w:rFonts w:ascii="Times New Roman" w:hAnsi="Times New Roman"/>
                <w:szCs w:val="24"/>
              </w:rPr>
            </w:pPr>
            <w:r>
              <w:rPr>
                <w:rFonts w:ascii="Times New Roman" w:hAnsi="Times New Roman"/>
                <w:szCs w:val="24"/>
              </w:rPr>
              <w:t>Руководитель кружка, любительского объединения, клуба по интересам</w:t>
            </w:r>
          </w:p>
        </w:tc>
        <w:tc>
          <w:tcPr>
            <w:tcW w:w="1820" w:type="dxa"/>
            <w:vMerge w:val="continue"/>
          </w:tcPr>
          <w:p w14:paraId="5F28178E">
            <w:pPr>
              <w:spacing w:after="0" w:line="240" w:lineRule="auto"/>
              <w:rPr>
                <w:b/>
                <w:bCs/>
                <w:szCs w:val="24"/>
              </w:rPr>
            </w:pPr>
          </w:p>
        </w:tc>
      </w:tr>
      <w:tr w14:paraId="01B8B5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1" w:hRule="atLeast"/>
        </w:trPr>
        <w:tc>
          <w:tcPr>
            <w:tcW w:w="7665" w:type="dxa"/>
          </w:tcPr>
          <w:p w14:paraId="03802618">
            <w:pPr>
              <w:spacing w:after="0" w:line="240" w:lineRule="auto"/>
              <w:rPr>
                <w:rFonts w:ascii="Times New Roman" w:hAnsi="Times New Roman"/>
                <w:szCs w:val="24"/>
              </w:rPr>
            </w:pPr>
            <w:r>
              <w:rPr>
                <w:rFonts w:ascii="Times New Roman" w:hAnsi="Times New Roman"/>
                <w:szCs w:val="24"/>
              </w:rPr>
              <w:t>Распорядитель танцевального вечера, ведущий дискотеки, руководитель музыкальной части дискотеки</w:t>
            </w:r>
          </w:p>
        </w:tc>
        <w:tc>
          <w:tcPr>
            <w:tcW w:w="1820" w:type="dxa"/>
            <w:vMerge w:val="continue"/>
          </w:tcPr>
          <w:p w14:paraId="764E7ABB">
            <w:pPr>
              <w:spacing w:after="0" w:line="240" w:lineRule="auto"/>
              <w:rPr>
                <w:b/>
                <w:bCs/>
                <w:szCs w:val="24"/>
              </w:rPr>
            </w:pPr>
          </w:p>
        </w:tc>
      </w:tr>
      <w:tr w14:paraId="01102A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1" w:hRule="atLeast"/>
        </w:trPr>
        <w:tc>
          <w:tcPr>
            <w:tcW w:w="7665" w:type="dxa"/>
          </w:tcPr>
          <w:p w14:paraId="7B5E90E8">
            <w:pPr>
              <w:spacing w:after="0" w:line="240" w:lineRule="auto"/>
              <w:rPr>
                <w:rFonts w:ascii="Times New Roman" w:hAnsi="Times New Roman"/>
                <w:szCs w:val="24"/>
              </w:rPr>
            </w:pPr>
            <w:r>
              <w:rPr>
                <w:rFonts w:ascii="Times New Roman" w:hAnsi="Times New Roman"/>
                <w:szCs w:val="24"/>
              </w:rPr>
              <w:t>Иные должности, предусмотренные Приказом Минздравсоцразвития России от 31 августа 2007 года № 570, по данной ПКГ</w:t>
            </w:r>
          </w:p>
        </w:tc>
        <w:tc>
          <w:tcPr>
            <w:tcW w:w="1820" w:type="dxa"/>
            <w:vMerge w:val="continue"/>
          </w:tcPr>
          <w:p w14:paraId="0AF55FC7">
            <w:pPr>
              <w:spacing w:after="0" w:line="240" w:lineRule="auto"/>
              <w:rPr>
                <w:b/>
                <w:bCs/>
                <w:szCs w:val="24"/>
              </w:rPr>
            </w:pPr>
          </w:p>
        </w:tc>
      </w:tr>
      <w:tr w14:paraId="1E842E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0" w:hRule="atLeast"/>
        </w:trPr>
        <w:tc>
          <w:tcPr>
            <w:tcW w:w="9485" w:type="dxa"/>
            <w:gridSpan w:val="2"/>
          </w:tcPr>
          <w:p w14:paraId="71F14C7D">
            <w:pPr>
              <w:spacing w:after="0" w:line="240" w:lineRule="auto"/>
              <w:jc w:val="center"/>
              <w:rPr>
                <w:rFonts w:ascii="Times New Roman" w:hAnsi="Times New Roman"/>
                <w:b/>
                <w:bCs/>
                <w:szCs w:val="24"/>
              </w:rPr>
            </w:pPr>
            <w:r>
              <w:rPr>
                <w:rFonts w:ascii="Times New Roman" w:hAnsi="Times New Roman"/>
                <w:b/>
                <w:bCs/>
                <w:szCs w:val="24"/>
              </w:rPr>
              <w:t>Профессиональная квалификационная группа "Должности работников культуры, искусства и кинематографии ведущего звена"</w:t>
            </w:r>
          </w:p>
        </w:tc>
      </w:tr>
      <w:tr w14:paraId="7FD685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1" w:hRule="atLeast"/>
        </w:trPr>
        <w:tc>
          <w:tcPr>
            <w:tcW w:w="7665" w:type="dxa"/>
          </w:tcPr>
          <w:p w14:paraId="6622FE72">
            <w:pPr>
              <w:spacing w:after="0" w:line="240" w:lineRule="auto"/>
              <w:rPr>
                <w:rFonts w:ascii="Times New Roman" w:hAnsi="Times New Roman"/>
                <w:szCs w:val="24"/>
              </w:rPr>
            </w:pPr>
            <w:r>
              <w:rPr>
                <w:rFonts w:ascii="Times New Roman" w:hAnsi="Times New Roman"/>
                <w:szCs w:val="24"/>
              </w:rPr>
              <w:t xml:space="preserve"> Звукооператор </w:t>
            </w:r>
          </w:p>
        </w:tc>
        <w:tc>
          <w:tcPr>
            <w:tcW w:w="1820" w:type="dxa"/>
            <w:vMerge w:val="restart"/>
            <w:noWrap/>
          </w:tcPr>
          <w:p w14:paraId="57C90AC5">
            <w:pPr>
              <w:spacing w:after="0" w:line="240" w:lineRule="auto"/>
              <w:jc w:val="center"/>
              <w:rPr>
                <w:rFonts w:ascii="Times New Roman" w:hAnsi="Times New Roman"/>
                <w:b/>
                <w:bCs/>
                <w:szCs w:val="24"/>
              </w:rPr>
            </w:pPr>
            <w:r>
              <w:rPr>
                <w:rFonts w:ascii="Times New Roman" w:hAnsi="Times New Roman"/>
                <w:b/>
                <w:bCs/>
                <w:szCs w:val="24"/>
              </w:rPr>
              <w:t>16 733</w:t>
            </w:r>
          </w:p>
        </w:tc>
      </w:tr>
      <w:tr w14:paraId="30E8A2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1" w:hRule="atLeast"/>
        </w:trPr>
        <w:tc>
          <w:tcPr>
            <w:tcW w:w="7665" w:type="dxa"/>
          </w:tcPr>
          <w:p w14:paraId="1D32AF64">
            <w:pPr>
              <w:spacing w:after="0" w:line="240" w:lineRule="auto"/>
              <w:rPr>
                <w:rFonts w:ascii="Times New Roman" w:hAnsi="Times New Roman"/>
                <w:szCs w:val="24"/>
              </w:rPr>
            </w:pPr>
            <w:r>
              <w:rPr>
                <w:rFonts w:ascii="Times New Roman" w:hAnsi="Times New Roman"/>
                <w:szCs w:val="24"/>
              </w:rPr>
              <w:t>Специалист по методике клубной работы</w:t>
            </w:r>
          </w:p>
        </w:tc>
        <w:tc>
          <w:tcPr>
            <w:tcW w:w="1820" w:type="dxa"/>
            <w:vMerge w:val="continue"/>
          </w:tcPr>
          <w:p w14:paraId="6045F01A">
            <w:pPr>
              <w:spacing w:after="0" w:line="240" w:lineRule="auto"/>
              <w:rPr>
                <w:b/>
                <w:bCs/>
                <w:szCs w:val="24"/>
              </w:rPr>
            </w:pPr>
          </w:p>
        </w:tc>
      </w:tr>
      <w:tr w14:paraId="645325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1" w:hRule="atLeast"/>
        </w:trPr>
        <w:tc>
          <w:tcPr>
            <w:tcW w:w="7665" w:type="dxa"/>
          </w:tcPr>
          <w:p w14:paraId="7FA77C1C">
            <w:pPr>
              <w:spacing w:after="0" w:line="240" w:lineRule="auto"/>
              <w:rPr>
                <w:rFonts w:ascii="Times New Roman" w:hAnsi="Times New Roman"/>
                <w:szCs w:val="24"/>
              </w:rPr>
            </w:pPr>
            <w:r>
              <w:rPr>
                <w:rFonts w:ascii="Times New Roman" w:hAnsi="Times New Roman"/>
                <w:szCs w:val="24"/>
              </w:rPr>
              <w:t xml:space="preserve"> Иные должности, предусмотренные Приказом Минздравсоцразвития России от 31 августа 2007 года № 570, по данной ПКГ</w:t>
            </w:r>
          </w:p>
        </w:tc>
        <w:tc>
          <w:tcPr>
            <w:tcW w:w="1820" w:type="dxa"/>
            <w:vMerge w:val="continue"/>
          </w:tcPr>
          <w:p w14:paraId="0D462315">
            <w:pPr>
              <w:spacing w:after="0" w:line="240" w:lineRule="auto"/>
              <w:rPr>
                <w:b/>
                <w:bCs/>
                <w:szCs w:val="24"/>
              </w:rPr>
            </w:pPr>
          </w:p>
        </w:tc>
      </w:tr>
      <w:tr w14:paraId="2156755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8" w:hRule="atLeast"/>
        </w:trPr>
        <w:tc>
          <w:tcPr>
            <w:tcW w:w="9485" w:type="dxa"/>
            <w:gridSpan w:val="2"/>
          </w:tcPr>
          <w:p w14:paraId="659B30DF">
            <w:pPr>
              <w:spacing w:after="0" w:line="240" w:lineRule="auto"/>
              <w:jc w:val="center"/>
              <w:rPr>
                <w:rFonts w:ascii="Times New Roman" w:hAnsi="Times New Roman"/>
                <w:bCs/>
                <w:szCs w:val="24"/>
              </w:rPr>
            </w:pPr>
            <w:r>
              <w:rPr>
                <w:rFonts w:ascii="Times New Roman" w:hAnsi="Times New Roman"/>
                <w:b/>
                <w:bCs/>
                <w:szCs w:val="24"/>
              </w:rPr>
              <w:t>Профессиональная квалификационная группа «Должности руководящего состава учреждений культуры, искусства и кинематографии</w:t>
            </w:r>
            <w:r>
              <w:rPr>
                <w:rFonts w:ascii="Times New Roman" w:hAnsi="Times New Roman"/>
                <w:bCs/>
                <w:szCs w:val="24"/>
              </w:rPr>
              <w:t>»</w:t>
            </w:r>
          </w:p>
        </w:tc>
      </w:tr>
      <w:tr w14:paraId="3CE1A0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3" w:hRule="atLeast"/>
        </w:trPr>
        <w:tc>
          <w:tcPr>
            <w:tcW w:w="7665" w:type="dxa"/>
            <w:tcBorders>
              <w:bottom w:val="single" w:color="auto" w:sz="4" w:space="0"/>
            </w:tcBorders>
          </w:tcPr>
          <w:p w14:paraId="274C0A6F">
            <w:pPr>
              <w:spacing w:after="0" w:line="240" w:lineRule="auto"/>
              <w:rPr>
                <w:rFonts w:ascii="Times New Roman" w:hAnsi="Times New Roman"/>
                <w:szCs w:val="24"/>
              </w:rPr>
            </w:pPr>
            <w:r>
              <w:rPr>
                <w:rFonts w:ascii="Times New Roman" w:hAnsi="Times New Roman"/>
                <w:szCs w:val="24"/>
              </w:rPr>
              <w:t xml:space="preserve">Заведующий    </w:t>
            </w:r>
          </w:p>
        </w:tc>
        <w:tc>
          <w:tcPr>
            <w:tcW w:w="1820" w:type="dxa"/>
            <w:vMerge w:val="restart"/>
          </w:tcPr>
          <w:p w14:paraId="6ABC7C8E">
            <w:pPr>
              <w:spacing w:after="0" w:line="240" w:lineRule="auto"/>
              <w:jc w:val="center"/>
              <w:rPr>
                <w:rFonts w:ascii="Times New Roman" w:hAnsi="Times New Roman"/>
                <w:b/>
                <w:szCs w:val="24"/>
              </w:rPr>
            </w:pPr>
            <w:r>
              <w:rPr>
                <w:rFonts w:ascii="Times New Roman" w:hAnsi="Times New Roman"/>
                <w:b/>
                <w:szCs w:val="24"/>
              </w:rPr>
              <w:t>19 144</w:t>
            </w:r>
          </w:p>
        </w:tc>
      </w:tr>
      <w:tr w14:paraId="5BF26F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3" w:hRule="atLeast"/>
        </w:trPr>
        <w:tc>
          <w:tcPr>
            <w:tcW w:w="7665" w:type="dxa"/>
            <w:tcBorders>
              <w:top w:val="single" w:color="auto" w:sz="4" w:space="0"/>
            </w:tcBorders>
          </w:tcPr>
          <w:p w14:paraId="3D5570FF">
            <w:pPr>
              <w:rPr>
                <w:rFonts w:ascii="Times New Roman" w:hAnsi="Times New Roman"/>
                <w:szCs w:val="24"/>
              </w:rPr>
            </w:pPr>
            <w:r>
              <w:rPr>
                <w:rFonts w:ascii="Times New Roman" w:hAnsi="Times New Roman"/>
                <w:szCs w:val="24"/>
              </w:rPr>
              <w:t>Балетмейстер хореографического коллектива (студии), ансамбля песни и танца</w:t>
            </w:r>
          </w:p>
        </w:tc>
        <w:tc>
          <w:tcPr>
            <w:tcW w:w="1820" w:type="dxa"/>
            <w:vMerge w:val="continue"/>
          </w:tcPr>
          <w:p w14:paraId="394F42F3">
            <w:pPr>
              <w:spacing w:after="0" w:line="240" w:lineRule="auto"/>
              <w:jc w:val="center"/>
              <w:rPr>
                <w:szCs w:val="24"/>
              </w:rPr>
            </w:pPr>
          </w:p>
        </w:tc>
      </w:tr>
      <w:tr w14:paraId="622B56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1" w:hRule="atLeast"/>
        </w:trPr>
        <w:tc>
          <w:tcPr>
            <w:tcW w:w="7665" w:type="dxa"/>
          </w:tcPr>
          <w:p w14:paraId="476131FF">
            <w:pPr>
              <w:spacing w:after="0" w:line="240" w:lineRule="auto"/>
              <w:rPr>
                <w:rFonts w:ascii="Times New Roman" w:hAnsi="Times New Roman"/>
                <w:szCs w:val="24"/>
              </w:rPr>
            </w:pPr>
            <w:r>
              <w:rPr>
                <w:rFonts w:ascii="Times New Roman" w:hAnsi="Times New Roman"/>
                <w:szCs w:val="24"/>
              </w:rPr>
              <w:t>Руководитель клубного формирования (любительского объединения, студии, коллектива самодеятельного искусства, клуба по интересам)</w:t>
            </w:r>
          </w:p>
        </w:tc>
        <w:tc>
          <w:tcPr>
            <w:tcW w:w="1820" w:type="dxa"/>
            <w:vMerge w:val="continue"/>
          </w:tcPr>
          <w:p w14:paraId="280C412F">
            <w:pPr>
              <w:spacing w:after="0" w:line="240" w:lineRule="auto"/>
              <w:rPr>
                <w:szCs w:val="24"/>
              </w:rPr>
            </w:pPr>
          </w:p>
        </w:tc>
      </w:tr>
      <w:tr w14:paraId="307F9B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1" w:hRule="atLeast"/>
        </w:trPr>
        <w:tc>
          <w:tcPr>
            <w:tcW w:w="7665" w:type="dxa"/>
          </w:tcPr>
          <w:p w14:paraId="5FBB5B2F">
            <w:pPr>
              <w:spacing w:after="0" w:line="240" w:lineRule="auto"/>
              <w:rPr>
                <w:rFonts w:ascii="Times New Roman" w:hAnsi="Times New Roman"/>
                <w:szCs w:val="24"/>
              </w:rPr>
            </w:pPr>
            <w:r>
              <w:rPr>
                <w:rFonts w:ascii="Times New Roman" w:hAnsi="Times New Roman"/>
                <w:szCs w:val="24"/>
              </w:rPr>
              <w:t>Режиссер массовых представлений</w:t>
            </w:r>
          </w:p>
        </w:tc>
        <w:tc>
          <w:tcPr>
            <w:tcW w:w="1820" w:type="dxa"/>
            <w:vMerge w:val="continue"/>
          </w:tcPr>
          <w:p w14:paraId="0C83D23B">
            <w:pPr>
              <w:spacing w:after="0" w:line="240" w:lineRule="auto"/>
              <w:rPr>
                <w:szCs w:val="24"/>
              </w:rPr>
            </w:pPr>
          </w:p>
        </w:tc>
      </w:tr>
      <w:tr w14:paraId="57FD77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1" w:hRule="atLeast"/>
        </w:trPr>
        <w:tc>
          <w:tcPr>
            <w:tcW w:w="7665" w:type="dxa"/>
          </w:tcPr>
          <w:p w14:paraId="5192EA64">
            <w:pPr>
              <w:spacing w:after="0" w:line="240" w:lineRule="auto"/>
              <w:rPr>
                <w:rFonts w:ascii="Times New Roman" w:hAnsi="Times New Roman"/>
                <w:szCs w:val="24"/>
              </w:rPr>
            </w:pPr>
            <w:r>
              <w:rPr>
                <w:rFonts w:ascii="Times New Roman" w:hAnsi="Times New Roman"/>
                <w:szCs w:val="24"/>
              </w:rPr>
              <w:t>Режиссер любительского театра (студии)</w:t>
            </w:r>
          </w:p>
        </w:tc>
        <w:tc>
          <w:tcPr>
            <w:tcW w:w="1820" w:type="dxa"/>
            <w:vMerge w:val="continue"/>
          </w:tcPr>
          <w:p w14:paraId="42F10E03">
            <w:pPr>
              <w:spacing w:after="0" w:line="240" w:lineRule="auto"/>
              <w:rPr>
                <w:szCs w:val="24"/>
              </w:rPr>
            </w:pPr>
          </w:p>
        </w:tc>
      </w:tr>
      <w:tr w14:paraId="062CE8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1" w:hRule="atLeast"/>
        </w:trPr>
        <w:tc>
          <w:tcPr>
            <w:tcW w:w="7665" w:type="dxa"/>
          </w:tcPr>
          <w:p w14:paraId="33267991">
            <w:pPr>
              <w:spacing w:after="0" w:line="240" w:lineRule="auto"/>
              <w:rPr>
                <w:rFonts w:ascii="Times New Roman" w:hAnsi="Times New Roman"/>
                <w:szCs w:val="24"/>
              </w:rPr>
            </w:pPr>
            <w:r>
              <w:rPr>
                <w:rFonts w:ascii="Times New Roman" w:hAnsi="Times New Roman"/>
                <w:szCs w:val="24"/>
              </w:rPr>
              <w:t>Художественный руководитель</w:t>
            </w:r>
          </w:p>
        </w:tc>
        <w:tc>
          <w:tcPr>
            <w:tcW w:w="1820" w:type="dxa"/>
            <w:vMerge w:val="continue"/>
          </w:tcPr>
          <w:p w14:paraId="3AEEC81E">
            <w:pPr>
              <w:spacing w:after="0" w:line="240" w:lineRule="auto"/>
              <w:rPr>
                <w:szCs w:val="24"/>
              </w:rPr>
            </w:pPr>
          </w:p>
        </w:tc>
      </w:tr>
      <w:tr w14:paraId="311B0F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1" w:hRule="atLeast"/>
        </w:trPr>
        <w:tc>
          <w:tcPr>
            <w:tcW w:w="7665" w:type="dxa"/>
          </w:tcPr>
          <w:p w14:paraId="58579971">
            <w:pPr>
              <w:spacing w:after="0" w:line="240" w:lineRule="auto"/>
              <w:rPr>
                <w:rFonts w:ascii="Times New Roman" w:hAnsi="Times New Roman"/>
                <w:szCs w:val="24"/>
              </w:rPr>
            </w:pPr>
            <w:r>
              <w:rPr>
                <w:rFonts w:ascii="Times New Roman" w:hAnsi="Times New Roman"/>
                <w:szCs w:val="24"/>
              </w:rPr>
              <w:t>Иные должности, предусмотренные Приказом Минздравсоцразвития России от 31 августа 2007 года № 570, по данной ПКГ</w:t>
            </w:r>
          </w:p>
        </w:tc>
        <w:tc>
          <w:tcPr>
            <w:tcW w:w="1820" w:type="dxa"/>
            <w:vMerge w:val="continue"/>
          </w:tcPr>
          <w:p w14:paraId="78EEB0EC">
            <w:pPr>
              <w:spacing w:after="0" w:line="240" w:lineRule="auto"/>
              <w:rPr>
                <w:szCs w:val="24"/>
              </w:rPr>
            </w:pPr>
          </w:p>
        </w:tc>
      </w:tr>
    </w:tbl>
    <w:p w14:paraId="2EC40F9F">
      <w:pPr>
        <w:spacing w:line="240" w:lineRule="auto"/>
        <w:jc w:val="center"/>
        <w:rPr>
          <w:rFonts w:ascii="Times New Roman" w:hAnsi="Times New Roman"/>
          <w:sz w:val="24"/>
          <w:szCs w:val="24"/>
        </w:rPr>
      </w:pPr>
    </w:p>
    <w:p w14:paraId="6535F63F">
      <w:pPr>
        <w:spacing w:line="240" w:lineRule="auto"/>
        <w:jc w:val="center"/>
        <w:rPr>
          <w:rFonts w:ascii="Times New Roman" w:hAnsi="Times New Roman"/>
          <w:b/>
          <w:bCs/>
          <w:sz w:val="24"/>
          <w:szCs w:val="24"/>
        </w:rPr>
      </w:pPr>
      <w:r>
        <w:rPr>
          <w:rFonts w:ascii="Times New Roman" w:hAnsi="Times New Roman"/>
          <w:b/>
          <w:sz w:val="24"/>
          <w:szCs w:val="24"/>
        </w:rPr>
        <w:t xml:space="preserve">2. Профессиональные  квалификационные группы профессий рабочих культуры, искусства и кинематографии, утвержденные Приказом </w:t>
      </w:r>
      <w:r>
        <w:rPr>
          <w:rFonts w:ascii="Times New Roman" w:hAnsi="Times New Roman"/>
          <w:b/>
          <w:bCs/>
          <w:sz w:val="24"/>
          <w:szCs w:val="24"/>
        </w:rPr>
        <w:t>Минздравсоцразвития России от 14 марта 2008г. №121н</w:t>
      </w:r>
    </w:p>
    <w:tbl>
      <w:tblPr>
        <w:tblStyle w:val="5"/>
        <w:tblW w:w="0" w:type="auto"/>
        <w:tblInd w:w="5" w:type="dxa"/>
        <w:tblLayout w:type="fixed"/>
        <w:tblCellMar>
          <w:top w:w="0" w:type="dxa"/>
          <w:left w:w="0" w:type="dxa"/>
          <w:bottom w:w="0" w:type="dxa"/>
          <w:right w:w="0" w:type="dxa"/>
        </w:tblCellMar>
      </w:tblPr>
      <w:tblGrid>
        <w:gridCol w:w="7655"/>
        <w:gridCol w:w="1949"/>
      </w:tblGrid>
      <w:tr w14:paraId="2B27A4A2">
        <w:tblPrEx>
          <w:tblCellMar>
            <w:top w:w="0" w:type="dxa"/>
            <w:left w:w="0" w:type="dxa"/>
            <w:bottom w:w="0" w:type="dxa"/>
            <w:right w:w="0" w:type="dxa"/>
          </w:tblCellMar>
        </w:tblPrEx>
        <w:trPr>
          <w:trHeight w:val="274" w:hRule="atLeast"/>
        </w:trPr>
        <w:tc>
          <w:tcPr>
            <w:tcW w:w="7655" w:type="dxa"/>
            <w:tcBorders>
              <w:top w:val="single" w:color="auto" w:sz="4" w:space="0"/>
              <w:left w:val="single" w:color="auto" w:sz="4" w:space="0"/>
              <w:bottom w:val="single" w:color="auto" w:sz="4" w:space="0"/>
              <w:right w:val="single" w:color="auto" w:sz="4" w:space="0"/>
            </w:tcBorders>
            <w:shd w:val="clear" w:color="auto" w:fill="FFFFFF"/>
          </w:tcPr>
          <w:p w14:paraId="22BC53CB">
            <w:pPr>
              <w:spacing w:after="0" w:line="240" w:lineRule="auto"/>
              <w:ind w:left="147" w:right="224"/>
              <w:jc w:val="both"/>
              <w:rPr>
                <w:rFonts w:ascii="Times New Roman" w:hAnsi="Times New Roman"/>
                <w:sz w:val="24"/>
                <w:szCs w:val="24"/>
              </w:rPr>
            </w:pPr>
            <w:r>
              <w:rPr>
                <w:rFonts w:ascii="Times New Roman" w:hAnsi="Times New Roman"/>
                <w:b/>
                <w:sz w:val="24"/>
                <w:szCs w:val="24"/>
              </w:rPr>
              <w:t>Профессиональная квалификационная группа «Профессии рабочих культуры, искусства и кинематографии первого уровня»</w:t>
            </w:r>
          </w:p>
        </w:tc>
        <w:tc>
          <w:tcPr>
            <w:tcW w:w="1949" w:type="dxa"/>
            <w:tcBorders>
              <w:top w:val="single" w:color="auto" w:sz="4" w:space="0"/>
              <w:left w:val="single" w:color="auto" w:sz="4" w:space="0"/>
              <w:bottom w:val="single" w:color="auto" w:sz="4" w:space="0"/>
              <w:right w:val="single" w:color="auto" w:sz="4" w:space="0"/>
            </w:tcBorders>
            <w:shd w:val="clear" w:color="auto" w:fill="FFFFFF"/>
          </w:tcPr>
          <w:p w14:paraId="4AD0A4F2">
            <w:pPr>
              <w:spacing w:after="0" w:line="240" w:lineRule="auto"/>
              <w:jc w:val="center"/>
              <w:rPr>
                <w:rFonts w:ascii="Times New Roman" w:hAnsi="Times New Roman"/>
                <w:b/>
                <w:sz w:val="24"/>
                <w:szCs w:val="24"/>
              </w:rPr>
            </w:pPr>
            <w:r>
              <w:rPr>
                <w:rFonts w:ascii="Times New Roman" w:hAnsi="Times New Roman"/>
                <w:b/>
                <w:sz w:val="24"/>
                <w:szCs w:val="24"/>
              </w:rPr>
              <w:t>11 509</w:t>
            </w:r>
          </w:p>
        </w:tc>
      </w:tr>
      <w:tr w14:paraId="0A7306E7">
        <w:tblPrEx>
          <w:tblCellMar>
            <w:top w:w="0" w:type="dxa"/>
            <w:left w:w="0" w:type="dxa"/>
            <w:bottom w:w="0" w:type="dxa"/>
            <w:right w:w="0" w:type="dxa"/>
          </w:tblCellMar>
        </w:tblPrEx>
        <w:trPr>
          <w:trHeight w:val="274" w:hRule="atLeast"/>
        </w:trPr>
        <w:tc>
          <w:tcPr>
            <w:tcW w:w="9604" w:type="dxa"/>
            <w:gridSpan w:val="2"/>
            <w:tcBorders>
              <w:top w:val="single" w:color="auto" w:sz="4" w:space="0"/>
              <w:left w:val="single" w:color="auto" w:sz="4" w:space="0"/>
              <w:bottom w:val="single" w:color="auto" w:sz="4" w:space="0"/>
              <w:right w:val="single" w:color="auto" w:sz="4" w:space="0"/>
            </w:tcBorders>
            <w:shd w:val="clear" w:color="auto" w:fill="FFFFFF"/>
          </w:tcPr>
          <w:p w14:paraId="7821CFC7">
            <w:pPr>
              <w:spacing w:after="0" w:line="240" w:lineRule="auto"/>
              <w:ind w:left="147" w:right="224"/>
              <w:jc w:val="center"/>
              <w:rPr>
                <w:rFonts w:ascii="Times New Roman" w:hAnsi="Times New Roman"/>
                <w:b/>
                <w:sz w:val="24"/>
                <w:szCs w:val="24"/>
              </w:rPr>
            </w:pPr>
            <w:r>
              <w:rPr>
                <w:rFonts w:ascii="Times New Roman" w:hAnsi="Times New Roman"/>
                <w:b/>
                <w:sz w:val="24"/>
                <w:szCs w:val="24"/>
              </w:rPr>
              <w:t>Профессиональная квалификационная группа «Профессии рабочих культуры, искусства и кинематографии второго уровня»</w:t>
            </w:r>
          </w:p>
        </w:tc>
      </w:tr>
      <w:tr w14:paraId="2EF62632">
        <w:tblPrEx>
          <w:tblCellMar>
            <w:top w:w="0" w:type="dxa"/>
            <w:left w:w="0" w:type="dxa"/>
            <w:bottom w:w="0" w:type="dxa"/>
            <w:right w:w="0" w:type="dxa"/>
          </w:tblCellMar>
        </w:tblPrEx>
        <w:trPr>
          <w:trHeight w:val="274" w:hRule="atLeast"/>
        </w:trPr>
        <w:tc>
          <w:tcPr>
            <w:tcW w:w="7655" w:type="dxa"/>
            <w:tcBorders>
              <w:top w:val="single" w:color="auto" w:sz="4" w:space="0"/>
              <w:left w:val="single" w:color="auto" w:sz="4" w:space="0"/>
              <w:bottom w:val="single" w:color="auto" w:sz="4" w:space="0"/>
              <w:right w:val="single" w:color="auto" w:sz="4" w:space="0"/>
            </w:tcBorders>
            <w:shd w:val="clear" w:color="auto" w:fill="FFFFFF"/>
          </w:tcPr>
          <w:p w14:paraId="5CC2168C">
            <w:pPr>
              <w:spacing w:after="0" w:line="240" w:lineRule="auto"/>
              <w:ind w:left="147" w:right="224"/>
              <w:jc w:val="both"/>
              <w:rPr>
                <w:rFonts w:ascii="Times New Roman" w:hAnsi="Times New Roman"/>
                <w:b/>
                <w:sz w:val="24"/>
                <w:szCs w:val="24"/>
              </w:rPr>
            </w:pPr>
            <w:r>
              <w:rPr>
                <w:rFonts w:ascii="Times New Roman" w:hAnsi="Times New Roman"/>
                <w:b/>
                <w:sz w:val="24"/>
                <w:szCs w:val="24"/>
              </w:rPr>
              <w:t>1 квалификационный уровень</w:t>
            </w:r>
          </w:p>
        </w:tc>
        <w:tc>
          <w:tcPr>
            <w:tcW w:w="1949" w:type="dxa"/>
            <w:tcBorders>
              <w:top w:val="single" w:color="auto" w:sz="4" w:space="0"/>
              <w:left w:val="single" w:color="auto" w:sz="4" w:space="0"/>
              <w:bottom w:val="single" w:color="auto" w:sz="4" w:space="0"/>
              <w:right w:val="single" w:color="auto" w:sz="4" w:space="0"/>
            </w:tcBorders>
            <w:shd w:val="clear" w:color="auto" w:fill="FFFFFF"/>
          </w:tcPr>
          <w:p w14:paraId="27BB0DB0">
            <w:pPr>
              <w:spacing w:after="0" w:line="240" w:lineRule="auto"/>
              <w:jc w:val="center"/>
              <w:rPr>
                <w:rFonts w:ascii="Times New Roman" w:hAnsi="Times New Roman"/>
                <w:b/>
                <w:sz w:val="24"/>
                <w:szCs w:val="24"/>
              </w:rPr>
            </w:pPr>
            <w:r>
              <w:rPr>
                <w:rFonts w:ascii="Times New Roman" w:hAnsi="Times New Roman"/>
                <w:b/>
                <w:sz w:val="24"/>
                <w:szCs w:val="24"/>
              </w:rPr>
              <w:t>15 797</w:t>
            </w:r>
          </w:p>
        </w:tc>
      </w:tr>
      <w:tr w14:paraId="042D46CB">
        <w:tblPrEx>
          <w:tblCellMar>
            <w:top w:w="0" w:type="dxa"/>
            <w:left w:w="0" w:type="dxa"/>
            <w:bottom w:w="0" w:type="dxa"/>
            <w:right w:w="0" w:type="dxa"/>
          </w:tblCellMar>
        </w:tblPrEx>
        <w:trPr>
          <w:trHeight w:val="274" w:hRule="atLeast"/>
        </w:trPr>
        <w:tc>
          <w:tcPr>
            <w:tcW w:w="7655" w:type="dxa"/>
            <w:tcBorders>
              <w:top w:val="single" w:color="auto" w:sz="4" w:space="0"/>
              <w:left w:val="single" w:color="auto" w:sz="4" w:space="0"/>
              <w:bottom w:val="single" w:color="auto" w:sz="4" w:space="0"/>
              <w:right w:val="single" w:color="auto" w:sz="4" w:space="0"/>
            </w:tcBorders>
            <w:shd w:val="clear" w:color="auto" w:fill="FFFFFF"/>
          </w:tcPr>
          <w:p w14:paraId="7A64D156">
            <w:pPr>
              <w:spacing w:after="0" w:line="240" w:lineRule="auto"/>
              <w:ind w:left="147" w:right="224"/>
              <w:jc w:val="both"/>
              <w:rPr>
                <w:rFonts w:ascii="Times New Roman" w:hAnsi="Times New Roman"/>
                <w:b/>
                <w:sz w:val="24"/>
                <w:szCs w:val="24"/>
              </w:rPr>
            </w:pPr>
            <w:r>
              <w:rPr>
                <w:rFonts w:ascii="Times New Roman" w:hAnsi="Times New Roman"/>
                <w:b/>
                <w:sz w:val="24"/>
                <w:szCs w:val="24"/>
              </w:rPr>
              <w:t>2 квалификационный уровень</w:t>
            </w:r>
          </w:p>
        </w:tc>
        <w:tc>
          <w:tcPr>
            <w:tcW w:w="1949" w:type="dxa"/>
            <w:tcBorders>
              <w:top w:val="single" w:color="auto" w:sz="4" w:space="0"/>
              <w:left w:val="single" w:color="auto" w:sz="4" w:space="0"/>
              <w:bottom w:val="single" w:color="auto" w:sz="4" w:space="0"/>
              <w:right w:val="single" w:color="auto" w:sz="4" w:space="0"/>
            </w:tcBorders>
            <w:shd w:val="clear" w:color="auto" w:fill="FFFFFF"/>
          </w:tcPr>
          <w:p w14:paraId="46ACFFD2">
            <w:pPr>
              <w:spacing w:after="0" w:line="240" w:lineRule="auto"/>
              <w:jc w:val="center"/>
              <w:rPr>
                <w:rFonts w:ascii="Times New Roman" w:hAnsi="Times New Roman"/>
                <w:b/>
                <w:sz w:val="24"/>
                <w:szCs w:val="24"/>
              </w:rPr>
            </w:pPr>
            <w:r>
              <w:rPr>
                <w:rFonts w:ascii="Times New Roman" w:hAnsi="Times New Roman"/>
                <w:b/>
                <w:sz w:val="24"/>
                <w:szCs w:val="24"/>
              </w:rPr>
              <w:t>17 232</w:t>
            </w:r>
          </w:p>
        </w:tc>
      </w:tr>
      <w:tr w14:paraId="6A9B3E7F">
        <w:tblPrEx>
          <w:tblCellMar>
            <w:top w:w="0" w:type="dxa"/>
            <w:left w:w="0" w:type="dxa"/>
            <w:bottom w:w="0" w:type="dxa"/>
            <w:right w:w="0" w:type="dxa"/>
          </w:tblCellMar>
        </w:tblPrEx>
        <w:trPr>
          <w:trHeight w:val="274" w:hRule="atLeast"/>
        </w:trPr>
        <w:tc>
          <w:tcPr>
            <w:tcW w:w="7655" w:type="dxa"/>
            <w:tcBorders>
              <w:top w:val="single" w:color="auto" w:sz="4" w:space="0"/>
              <w:left w:val="single" w:color="auto" w:sz="4" w:space="0"/>
              <w:bottom w:val="single" w:color="auto" w:sz="4" w:space="0"/>
              <w:right w:val="single" w:color="auto" w:sz="4" w:space="0"/>
            </w:tcBorders>
            <w:shd w:val="clear" w:color="auto" w:fill="FFFFFF"/>
          </w:tcPr>
          <w:p w14:paraId="788CD0B7">
            <w:pPr>
              <w:spacing w:after="0" w:line="240" w:lineRule="auto"/>
              <w:ind w:left="147" w:right="224"/>
              <w:jc w:val="both"/>
              <w:rPr>
                <w:rFonts w:ascii="Times New Roman" w:hAnsi="Times New Roman"/>
                <w:b/>
                <w:sz w:val="24"/>
                <w:szCs w:val="24"/>
              </w:rPr>
            </w:pPr>
            <w:r>
              <w:rPr>
                <w:rFonts w:ascii="Times New Roman" w:hAnsi="Times New Roman"/>
                <w:b/>
                <w:sz w:val="24"/>
                <w:szCs w:val="24"/>
              </w:rPr>
              <w:t>3 квалификационный уровень</w:t>
            </w:r>
          </w:p>
        </w:tc>
        <w:tc>
          <w:tcPr>
            <w:tcW w:w="1949" w:type="dxa"/>
            <w:tcBorders>
              <w:top w:val="single" w:color="auto" w:sz="4" w:space="0"/>
              <w:left w:val="single" w:color="auto" w:sz="4" w:space="0"/>
              <w:bottom w:val="single" w:color="auto" w:sz="4" w:space="0"/>
              <w:right w:val="single" w:color="auto" w:sz="4" w:space="0"/>
            </w:tcBorders>
            <w:shd w:val="clear" w:color="auto" w:fill="FFFFFF"/>
          </w:tcPr>
          <w:p w14:paraId="4B49F5E5">
            <w:pPr>
              <w:spacing w:after="0" w:line="240" w:lineRule="auto"/>
              <w:jc w:val="center"/>
              <w:rPr>
                <w:rFonts w:ascii="Times New Roman" w:hAnsi="Times New Roman"/>
                <w:b/>
                <w:sz w:val="24"/>
                <w:szCs w:val="24"/>
              </w:rPr>
            </w:pPr>
            <w:r>
              <w:rPr>
                <w:rFonts w:ascii="Times New Roman" w:hAnsi="Times New Roman"/>
                <w:b/>
                <w:sz w:val="24"/>
                <w:szCs w:val="24"/>
              </w:rPr>
              <w:t>17 423</w:t>
            </w:r>
          </w:p>
        </w:tc>
      </w:tr>
      <w:tr w14:paraId="699FA5DA">
        <w:tblPrEx>
          <w:tblCellMar>
            <w:top w:w="0" w:type="dxa"/>
            <w:left w:w="0" w:type="dxa"/>
            <w:bottom w:w="0" w:type="dxa"/>
            <w:right w:w="0" w:type="dxa"/>
          </w:tblCellMar>
        </w:tblPrEx>
        <w:trPr>
          <w:trHeight w:val="274" w:hRule="atLeast"/>
        </w:trPr>
        <w:tc>
          <w:tcPr>
            <w:tcW w:w="7655" w:type="dxa"/>
            <w:tcBorders>
              <w:top w:val="single" w:color="auto" w:sz="4" w:space="0"/>
              <w:left w:val="single" w:color="auto" w:sz="4" w:space="0"/>
              <w:bottom w:val="single" w:color="auto" w:sz="4" w:space="0"/>
              <w:right w:val="single" w:color="auto" w:sz="4" w:space="0"/>
            </w:tcBorders>
            <w:shd w:val="clear" w:color="auto" w:fill="FFFFFF"/>
          </w:tcPr>
          <w:p w14:paraId="793231EE">
            <w:pPr>
              <w:spacing w:after="0" w:line="240" w:lineRule="auto"/>
              <w:ind w:left="147" w:right="224"/>
              <w:jc w:val="both"/>
              <w:rPr>
                <w:rFonts w:ascii="Times New Roman" w:hAnsi="Times New Roman"/>
                <w:b/>
                <w:sz w:val="24"/>
                <w:szCs w:val="24"/>
              </w:rPr>
            </w:pPr>
            <w:r>
              <w:rPr>
                <w:rFonts w:ascii="Times New Roman" w:hAnsi="Times New Roman"/>
                <w:b/>
                <w:sz w:val="24"/>
                <w:szCs w:val="24"/>
              </w:rPr>
              <w:t>4 квалификационный уровень</w:t>
            </w:r>
          </w:p>
        </w:tc>
        <w:tc>
          <w:tcPr>
            <w:tcW w:w="1949" w:type="dxa"/>
            <w:tcBorders>
              <w:top w:val="single" w:color="auto" w:sz="4" w:space="0"/>
              <w:left w:val="single" w:color="auto" w:sz="4" w:space="0"/>
              <w:bottom w:val="single" w:color="auto" w:sz="4" w:space="0"/>
              <w:right w:val="single" w:color="auto" w:sz="4" w:space="0"/>
            </w:tcBorders>
            <w:shd w:val="clear" w:color="auto" w:fill="FFFFFF"/>
          </w:tcPr>
          <w:p w14:paraId="623E4970">
            <w:pPr>
              <w:spacing w:after="0" w:line="240" w:lineRule="auto"/>
              <w:jc w:val="center"/>
              <w:rPr>
                <w:rFonts w:ascii="Times New Roman" w:hAnsi="Times New Roman"/>
                <w:b/>
                <w:sz w:val="24"/>
                <w:szCs w:val="24"/>
              </w:rPr>
            </w:pPr>
            <w:r>
              <w:rPr>
                <w:rFonts w:ascii="Times New Roman" w:hAnsi="Times New Roman"/>
                <w:b/>
                <w:sz w:val="24"/>
                <w:szCs w:val="24"/>
              </w:rPr>
              <w:t>18 368</w:t>
            </w:r>
          </w:p>
        </w:tc>
      </w:tr>
    </w:tbl>
    <w:p w14:paraId="69FB7E82">
      <w:pPr>
        <w:spacing w:after="0" w:line="240" w:lineRule="auto"/>
        <w:rPr>
          <w:rFonts w:ascii="Times New Roman" w:hAnsi="Times New Roman"/>
          <w:b/>
          <w:sz w:val="24"/>
          <w:szCs w:val="24"/>
        </w:rPr>
      </w:pPr>
    </w:p>
    <w:p w14:paraId="58E5D961">
      <w:pPr>
        <w:pStyle w:val="2"/>
        <w:spacing w:after="0"/>
        <w:jc w:val="center"/>
        <w:rPr>
          <w:rFonts w:ascii="Times New Roman" w:hAnsi="Times New Roman" w:cs="Times New Roman"/>
          <w:sz w:val="24"/>
          <w:szCs w:val="24"/>
        </w:rPr>
      </w:pPr>
      <w:r>
        <w:rPr>
          <w:rFonts w:ascii="Times New Roman" w:hAnsi="Times New Roman" w:cs="Times New Roman"/>
          <w:sz w:val="24"/>
          <w:szCs w:val="24"/>
        </w:rPr>
        <w:t xml:space="preserve">3.  Профессиональные  квалификационные группы общеотраслевых профессий рабочих, утвержденные приказом Минздрав соцразвития России от 29 мая 2008 г. N 248н </w:t>
      </w:r>
    </w:p>
    <w:p w14:paraId="1EDF4D87">
      <w:pPr>
        <w:pStyle w:val="3"/>
        <w:jc w:val="center"/>
        <w:rPr>
          <w:sz w:val="24"/>
          <w:szCs w:val="24"/>
        </w:rPr>
      </w:pPr>
      <w:r>
        <w:rPr>
          <w:sz w:val="24"/>
          <w:szCs w:val="24"/>
        </w:rPr>
        <w:t>Профессиональная квалификационная группа «Общеотраслевые профессии рабочих первого уровня»</w:t>
      </w:r>
    </w:p>
    <w:tbl>
      <w:tblPr>
        <w:tblStyle w:val="5"/>
        <w:tblW w:w="9609" w:type="dxa"/>
        <w:tblInd w:w="0" w:type="dxa"/>
        <w:tblLayout w:type="fixed"/>
        <w:tblCellMar>
          <w:top w:w="0" w:type="dxa"/>
          <w:left w:w="0" w:type="dxa"/>
          <w:bottom w:w="0" w:type="dxa"/>
          <w:right w:w="0" w:type="dxa"/>
        </w:tblCellMar>
      </w:tblPr>
      <w:tblGrid>
        <w:gridCol w:w="7563"/>
        <w:gridCol w:w="2046"/>
      </w:tblGrid>
      <w:tr w14:paraId="1D713D29">
        <w:tblPrEx>
          <w:tblCellMar>
            <w:top w:w="0" w:type="dxa"/>
            <w:left w:w="0" w:type="dxa"/>
            <w:bottom w:w="0" w:type="dxa"/>
            <w:right w:w="0" w:type="dxa"/>
          </w:tblCellMar>
        </w:tblPrEx>
        <w:trPr>
          <w:trHeight w:val="231" w:hRule="atLeast"/>
        </w:trPr>
        <w:tc>
          <w:tcPr>
            <w:tcW w:w="9609" w:type="dxa"/>
            <w:gridSpan w:val="2"/>
            <w:tcBorders>
              <w:top w:val="single" w:color="auto" w:sz="4" w:space="0"/>
              <w:left w:val="single" w:color="auto" w:sz="4" w:space="0"/>
              <w:bottom w:val="single" w:color="auto" w:sz="4" w:space="0"/>
              <w:right w:val="single" w:color="auto" w:sz="4" w:space="0"/>
            </w:tcBorders>
            <w:shd w:val="clear" w:color="auto" w:fill="FFFFFF"/>
          </w:tcPr>
          <w:p w14:paraId="77F7D022">
            <w:pPr>
              <w:spacing w:after="0" w:line="240" w:lineRule="auto"/>
              <w:jc w:val="center"/>
              <w:rPr>
                <w:rFonts w:ascii="Times New Roman" w:hAnsi="Times New Roman"/>
                <w:b/>
                <w:sz w:val="24"/>
                <w:szCs w:val="24"/>
              </w:rPr>
            </w:pPr>
            <w:r>
              <w:rPr>
                <w:rFonts w:ascii="Times New Roman" w:hAnsi="Times New Roman"/>
                <w:b/>
                <w:sz w:val="24"/>
                <w:szCs w:val="24"/>
              </w:rPr>
              <w:t>1 квалификационный уровень</w:t>
            </w:r>
          </w:p>
        </w:tc>
      </w:tr>
      <w:tr w14:paraId="7640BB97">
        <w:tblPrEx>
          <w:tblCellMar>
            <w:top w:w="0" w:type="dxa"/>
            <w:left w:w="0" w:type="dxa"/>
            <w:bottom w:w="0" w:type="dxa"/>
            <w:right w:w="0" w:type="dxa"/>
          </w:tblCellMar>
        </w:tblPrEx>
        <w:trPr>
          <w:trHeight w:val="1137" w:hRule="atLeast"/>
        </w:trPr>
        <w:tc>
          <w:tcPr>
            <w:tcW w:w="7563" w:type="dxa"/>
            <w:tcBorders>
              <w:top w:val="single" w:color="auto" w:sz="4" w:space="0"/>
              <w:left w:val="single" w:color="auto" w:sz="4" w:space="0"/>
              <w:bottom w:val="single" w:color="auto" w:sz="4" w:space="0"/>
              <w:right w:val="single" w:color="auto" w:sz="4" w:space="0"/>
            </w:tcBorders>
            <w:shd w:val="clear" w:color="auto" w:fill="FFFFFF"/>
          </w:tcPr>
          <w:p w14:paraId="6144412C">
            <w:pPr>
              <w:spacing w:after="0" w:line="240" w:lineRule="auto"/>
              <w:ind w:left="147" w:right="187"/>
              <w:jc w:val="both"/>
              <w:rPr>
                <w:rFonts w:ascii="Times New Roman" w:hAnsi="Times New Roman"/>
                <w:sz w:val="24"/>
                <w:szCs w:val="24"/>
              </w:rPr>
            </w:pPr>
            <w:r>
              <w:rPr>
                <w:rFonts w:ascii="Times New Roman" w:hAnsi="Times New Roman"/>
                <w:sz w:val="24"/>
                <w:szCs w:val="24"/>
              </w:rPr>
              <w:t>Наименования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w:t>
            </w:r>
          </w:p>
        </w:tc>
        <w:tc>
          <w:tcPr>
            <w:tcW w:w="2046" w:type="dxa"/>
            <w:vMerge w:val="restart"/>
            <w:tcBorders>
              <w:top w:val="single" w:color="auto" w:sz="4" w:space="0"/>
              <w:left w:val="single" w:color="auto" w:sz="4" w:space="0"/>
              <w:right w:val="single" w:color="auto" w:sz="4" w:space="0"/>
            </w:tcBorders>
            <w:shd w:val="clear" w:color="auto" w:fill="FFFFFF"/>
          </w:tcPr>
          <w:p w14:paraId="7AFA874B">
            <w:pPr>
              <w:spacing w:after="0" w:line="240" w:lineRule="auto"/>
              <w:jc w:val="center"/>
              <w:rPr>
                <w:rFonts w:ascii="Times New Roman" w:hAnsi="Times New Roman"/>
                <w:sz w:val="24"/>
                <w:szCs w:val="24"/>
              </w:rPr>
            </w:pPr>
            <w:r>
              <w:rPr>
                <w:rFonts w:ascii="Times New Roman" w:hAnsi="Times New Roman"/>
                <w:b/>
                <w:bCs/>
                <w:sz w:val="24"/>
                <w:szCs w:val="24"/>
              </w:rPr>
              <w:t>11 509</w:t>
            </w:r>
          </w:p>
          <w:p w14:paraId="4531C196">
            <w:pPr>
              <w:spacing w:after="0" w:line="240" w:lineRule="auto"/>
              <w:jc w:val="center"/>
              <w:rPr>
                <w:rFonts w:ascii="Times New Roman" w:hAnsi="Times New Roman"/>
                <w:sz w:val="24"/>
                <w:szCs w:val="24"/>
              </w:rPr>
            </w:pPr>
          </w:p>
        </w:tc>
      </w:tr>
      <w:tr w14:paraId="2556B361">
        <w:tblPrEx>
          <w:tblCellMar>
            <w:top w:w="0" w:type="dxa"/>
            <w:left w:w="0" w:type="dxa"/>
            <w:bottom w:w="0" w:type="dxa"/>
            <w:right w:w="0" w:type="dxa"/>
          </w:tblCellMar>
        </w:tblPrEx>
        <w:trPr>
          <w:trHeight w:val="231" w:hRule="atLeast"/>
        </w:trPr>
        <w:tc>
          <w:tcPr>
            <w:tcW w:w="7563" w:type="dxa"/>
            <w:tcBorders>
              <w:top w:val="single" w:color="auto" w:sz="4" w:space="0"/>
              <w:left w:val="single" w:color="auto" w:sz="4" w:space="0"/>
              <w:bottom w:val="single" w:color="auto" w:sz="4" w:space="0"/>
              <w:right w:val="single" w:color="auto" w:sz="4" w:space="0"/>
            </w:tcBorders>
            <w:shd w:val="clear" w:color="auto" w:fill="FFFFFF"/>
          </w:tcPr>
          <w:p w14:paraId="7E6D1CF8">
            <w:pPr>
              <w:spacing w:after="0" w:line="240" w:lineRule="auto"/>
              <w:ind w:firstLine="147"/>
              <w:jc w:val="both"/>
              <w:rPr>
                <w:rFonts w:ascii="Times New Roman" w:hAnsi="Times New Roman"/>
                <w:sz w:val="24"/>
                <w:szCs w:val="24"/>
              </w:rPr>
            </w:pPr>
            <w:r>
              <w:rPr>
                <w:rFonts w:ascii="Times New Roman" w:hAnsi="Times New Roman"/>
                <w:sz w:val="24"/>
                <w:szCs w:val="24"/>
              </w:rPr>
              <w:t>Сторож (вахтер)</w:t>
            </w:r>
          </w:p>
        </w:tc>
        <w:tc>
          <w:tcPr>
            <w:tcW w:w="2046" w:type="dxa"/>
            <w:vMerge w:val="continue"/>
            <w:tcBorders>
              <w:left w:val="single" w:color="auto" w:sz="4" w:space="0"/>
              <w:right w:val="single" w:color="auto" w:sz="4" w:space="0"/>
            </w:tcBorders>
            <w:vAlign w:val="center"/>
          </w:tcPr>
          <w:p w14:paraId="5A683D85">
            <w:pPr>
              <w:spacing w:after="0" w:line="240" w:lineRule="auto"/>
              <w:rPr>
                <w:rFonts w:ascii="Times New Roman" w:hAnsi="Times New Roman"/>
                <w:sz w:val="24"/>
                <w:szCs w:val="24"/>
              </w:rPr>
            </w:pPr>
          </w:p>
        </w:tc>
      </w:tr>
      <w:tr w14:paraId="6C3BB717">
        <w:tblPrEx>
          <w:tblCellMar>
            <w:top w:w="0" w:type="dxa"/>
            <w:left w:w="0" w:type="dxa"/>
            <w:bottom w:w="0" w:type="dxa"/>
            <w:right w:w="0" w:type="dxa"/>
          </w:tblCellMar>
        </w:tblPrEx>
        <w:trPr>
          <w:trHeight w:val="231" w:hRule="atLeast"/>
        </w:trPr>
        <w:tc>
          <w:tcPr>
            <w:tcW w:w="7563" w:type="dxa"/>
            <w:tcBorders>
              <w:top w:val="single" w:color="auto" w:sz="4" w:space="0"/>
              <w:left w:val="single" w:color="auto" w:sz="4" w:space="0"/>
              <w:bottom w:val="single" w:color="auto" w:sz="4" w:space="0"/>
              <w:right w:val="single" w:color="auto" w:sz="4" w:space="0"/>
            </w:tcBorders>
            <w:shd w:val="clear" w:color="auto" w:fill="FFFFFF"/>
          </w:tcPr>
          <w:p w14:paraId="77BD0151">
            <w:pPr>
              <w:spacing w:after="0" w:line="240" w:lineRule="auto"/>
              <w:ind w:firstLine="147"/>
              <w:jc w:val="both"/>
              <w:rPr>
                <w:rFonts w:ascii="Times New Roman" w:hAnsi="Times New Roman"/>
                <w:sz w:val="24"/>
                <w:szCs w:val="24"/>
              </w:rPr>
            </w:pPr>
            <w:r>
              <w:rPr>
                <w:rFonts w:ascii="Times New Roman" w:hAnsi="Times New Roman"/>
                <w:sz w:val="24"/>
                <w:szCs w:val="24"/>
              </w:rPr>
              <w:t>Подсобный рабочий</w:t>
            </w:r>
          </w:p>
        </w:tc>
        <w:tc>
          <w:tcPr>
            <w:tcW w:w="2046" w:type="dxa"/>
            <w:vMerge w:val="continue"/>
            <w:tcBorders>
              <w:left w:val="single" w:color="auto" w:sz="4" w:space="0"/>
              <w:right w:val="single" w:color="auto" w:sz="4" w:space="0"/>
            </w:tcBorders>
            <w:vAlign w:val="center"/>
          </w:tcPr>
          <w:p w14:paraId="5595BBA4">
            <w:pPr>
              <w:spacing w:after="0" w:line="240" w:lineRule="auto"/>
              <w:rPr>
                <w:rFonts w:ascii="Times New Roman" w:hAnsi="Times New Roman"/>
                <w:sz w:val="24"/>
                <w:szCs w:val="24"/>
              </w:rPr>
            </w:pPr>
          </w:p>
        </w:tc>
      </w:tr>
      <w:tr w14:paraId="5DEAD4C6">
        <w:tblPrEx>
          <w:tblCellMar>
            <w:top w:w="0" w:type="dxa"/>
            <w:left w:w="0" w:type="dxa"/>
            <w:bottom w:w="0" w:type="dxa"/>
            <w:right w:w="0" w:type="dxa"/>
          </w:tblCellMar>
        </w:tblPrEx>
        <w:trPr>
          <w:trHeight w:val="231" w:hRule="atLeast"/>
        </w:trPr>
        <w:tc>
          <w:tcPr>
            <w:tcW w:w="7563" w:type="dxa"/>
            <w:tcBorders>
              <w:top w:val="single" w:color="auto" w:sz="4" w:space="0"/>
              <w:left w:val="single" w:color="auto" w:sz="4" w:space="0"/>
              <w:bottom w:val="single" w:color="auto" w:sz="4" w:space="0"/>
              <w:right w:val="single" w:color="auto" w:sz="4" w:space="0"/>
            </w:tcBorders>
            <w:shd w:val="clear" w:color="auto" w:fill="FFFFFF"/>
          </w:tcPr>
          <w:p w14:paraId="4AF4619A">
            <w:pPr>
              <w:spacing w:after="0" w:line="240" w:lineRule="auto"/>
              <w:ind w:firstLine="147"/>
              <w:jc w:val="both"/>
              <w:rPr>
                <w:rFonts w:ascii="Times New Roman" w:hAnsi="Times New Roman"/>
                <w:sz w:val="24"/>
                <w:szCs w:val="24"/>
              </w:rPr>
            </w:pPr>
            <w:r>
              <w:rPr>
                <w:rFonts w:ascii="Times New Roman" w:hAnsi="Times New Roman"/>
                <w:sz w:val="24"/>
                <w:szCs w:val="24"/>
              </w:rPr>
              <w:t>Уборщик служебных помещений</w:t>
            </w:r>
          </w:p>
        </w:tc>
        <w:tc>
          <w:tcPr>
            <w:tcW w:w="2046" w:type="dxa"/>
            <w:vMerge w:val="continue"/>
            <w:tcBorders>
              <w:left w:val="single" w:color="auto" w:sz="4" w:space="0"/>
              <w:right w:val="single" w:color="auto" w:sz="4" w:space="0"/>
            </w:tcBorders>
            <w:vAlign w:val="center"/>
          </w:tcPr>
          <w:p w14:paraId="2306FD24">
            <w:pPr>
              <w:spacing w:after="0" w:line="240" w:lineRule="auto"/>
              <w:rPr>
                <w:rFonts w:ascii="Times New Roman" w:hAnsi="Times New Roman"/>
                <w:sz w:val="24"/>
                <w:szCs w:val="24"/>
              </w:rPr>
            </w:pPr>
          </w:p>
        </w:tc>
      </w:tr>
      <w:tr w14:paraId="683E4069">
        <w:tblPrEx>
          <w:tblCellMar>
            <w:top w:w="0" w:type="dxa"/>
            <w:left w:w="0" w:type="dxa"/>
            <w:bottom w:w="0" w:type="dxa"/>
            <w:right w:w="0" w:type="dxa"/>
          </w:tblCellMar>
        </w:tblPrEx>
        <w:trPr>
          <w:trHeight w:val="231" w:hRule="atLeast"/>
        </w:trPr>
        <w:tc>
          <w:tcPr>
            <w:tcW w:w="7563" w:type="dxa"/>
            <w:tcBorders>
              <w:top w:val="single" w:color="auto" w:sz="4" w:space="0"/>
              <w:left w:val="single" w:color="auto" w:sz="4" w:space="0"/>
              <w:bottom w:val="single" w:color="auto" w:sz="4" w:space="0"/>
              <w:right w:val="single" w:color="auto" w:sz="4" w:space="0"/>
            </w:tcBorders>
            <w:shd w:val="clear" w:color="auto" w:fill="FFFFFF"/>
          </w:tcPr>
          <w:p w14:paraId="665E913A">
            <w:pPr>
              <w:spacing w:after="0" w:line="240" w:lineRule="auto"/>
              <w:ind w:firstLine="147"/>
              <w:jc w:val="both"/>
              <w:rPr>
                <w:rFonts w:ascii="Times New Roman" w:hAnsi="Times New Roman"/>
                <w:sz w:val="24"/>
                <w:szCs w:val="24"/>
              </w:rPr>
            </w:pPr>
            <w:r>
              <w:rPr>
                <w:rFonts w:ascii="Times New Roman" w:hAnsi="Times New Roman"/>
                <w:sz w:val="24"/>
                <w:szCs w:val="24"/>
              </w:rPr>
              <w:t>Иные профессии, утвержденные Приказом Минздравсоцразвития России от 29 мая 2008 года № 248н, по данной ПКГ 1 квалификационного уровня</w:t>
            </w:r>
          </w:p>
        </w:tc>
        <w:tc>
          <w:tcPr>
            <w:tcW w:w="2046" w:type="dxa"/>
            <w:vMerge w:val="continue"/>
            <w:tcBorders>
              <w:left w:val="single" w:color="auto" w:sz="4" w:space="0"/>
              <w:bottom w:val="single" w:color="auto" w:sz="4" w:space="0"/>
              <w:right w:val="single" w:color="auto" w:sz="4" w:space="0"/>
            </w:tcBorders>
            <w:vAlign w:val="center"/>
          </w:tcPr>
          <w:p w14:paraId="5D579909">
            <w:pPr>
              <w:spacing w:after="0" w:line="240" w:lineRule="auto"/>
              <w:rPr>
                <w:rFonts w:ascii="Times New Roman" w:hAnsi="Times New Roman"/>
                <w:sz w:val="24"/>
                <w:szCs w:val="24"/>
              </w:rPr>
            </w:pPr>
          </w:p>
        </w:tc>
      </w:tr>
      <w:tr w14:paraId="6A2DCD00">
        <w:tblPrEx>
          <w:tblCellMar>
            <w:top w:w="0" w:type="dxa"/>
            <w:left w:w="0" w:type="dxa"/>
            <w:bottom w:w="0" w:type="dxa"/>
            <w:right w:w="0" w:type="dxa"/>
          </w:tblCellMar>
        </w:tblPrEx>
        <w:trPr>
          <w:trHeight w:val="305" w:hRule="atLeast"/>
        </w:trPr>
        <w:tc>
          <w:tcPr>
            <w:tcW w:w="9609" w:type="dxa"/>
            <w:gridSpan w:val="2"/>
            <w:tcBorders>
              <w:top w:val="single" w:color="auto" w:sz="4" w:space="0"/>
              <w:left w:val="single" w:color="auto" w:sz="4" w:space="0"/>
              <w:bottom w:val="single" w:color="auto" w:sz="4" w:space="0"/>
              <w:right w:val="single" w:color="auto" w:sz="4" w:space="0"/>
            </w:tcBorders>
            <w:shd w:val="clear" w:color="auto" w:fill="FFFFFF"/>
          </w:tcPr>
          <w:p w14:paraId="14321451">
            <w:pPr>
              <w:spacing w:after="0" w:line="240" w:lineRule="auto"/>
              <w:jc w:val="center"/>
              <w:rPr>
                <w:rFonts w:ascii="Times New Roman" w:hAnsi="Times New Roman"/>
                <w:b/>
                <w:sz w:val="24"/>
                <w:szCs w:val="24"/>
              </w:rPr>
            </w:pPr>
            <w:r>
              <w:rPr>
                <w:rFonts w:ascii="Times New Roman" w:hAnsi="Times New Roman"/>
                <w:b/>
                <w:sz w:val="24"/>
                <w:szCs w:val="24"/>
              </w:rPr>
              <w:t>2 квалификационный уровень</w:t>
            </w:r>
          </w:p>
        </w:tc>
      </w:tr>
      <w:tr w14:paraId="4B0427E7">
        <w:tblPrEx>
          <w:tblCellMar>
            <w:top w:w="0" w:type="dxa"/>
            <w:left w:w="0" w:type="dxa"/>
            <w:bottom w:w="0" w:type="dxa"/>
            <w:right w:w="0" w:type="dxa"/>
          </w:tblCellMar>
        </w:tblPrEx>
        <w:trPr>
          <w:trHeight w:val="276" w:hRule="atLeast"/>
        </w:trPr>
        <w:tc>
          <w:tcPr>
            <w:tcW w:w="7563" w:type="dxa"/>
            <w:tcBorders>
              <w:top w:val="single" w:color="auto" w:sz="4" w:space="0"/>
              <w:left w:val="single" w:color="auto" w:sz="4" w:space="0"/>
              <w:bottom w:val="single" w:color="auto" w:sz="4" w:space="0"/>
              <w:right w:val="single" w:color="auto" w:sz="4" w:space="0"/>
            </w:tcBorders>
            <w:shd w:val="clear" w:color="auto" w:fill="FFFFFF"/>
          </w:tcPr>
          <w:p w14:paraId="16888159">
            <w:pPr>
              <w:spacing w:after="0" w:line="240" w:lineRule="auto"/>
              <w:ind w:left="147" w:right="224"/>
              <w:jc w:val="both"/>
              <w:rPr>
                <w:rFonts w:ascii="Times New Roman" w:hAnsi="Times New Roman"/>
                <w:sz w:val="24"/>
                <w:szCs w:val="24"/>
              </w:rPr>
            </w:pPr>
            <w:r>
              <w:rPr>
                <w:rFonts w:ascii="Times New Roman" w:hAnsi="Times New Roman"/>
                <w:sz w:val="24"/>
                <w:szCs w:val="24"/>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c>
          <w:tcPr>
            <w:tcW w:w="2046" w:type="dxa"/>
            <w:tcBorders>
              <w:top w:val="single" w:color="auto" w:sz="4" w:space="0"/>
              <w:left w:val="single" w:color="auto" w:sz="4" w:space="0"/>
              <w:bottom w:val="single" w:color="auto" w:sz="4" w:space="0"/>
              <w:right w:val="single" w:color="auto" w:sz="4" w:space="0"/>
            </w:tcBorders>
            <w:shd w:val="clear" w:color="auto" w:fill="FFFFFF"/>
          </w:tcPr>
          <w:p w14:paraId="2F203B32">
            <w:pPr>
              <w:spacing w:after="0" w:line="240" w:lineRule="auto"/>
              <w:jc w:val="center"/>
              <w:rPr>
                <w:rFonts w:ascii="Times New Roman" w:hAnsi="Times New Roman"/>
                <w:b/>
                <w:sz w:val="24"/>
                <w:szCs w:val="24"/>
              </w:rPr>
            </w:pPr>
            <w:r>
              <w:rPr>
                <w:rFonts w:ascii="Times New Roman" w:hAnsi="Times New Roman"/>
                <w:b/>
                <w:sz w:val="24"/>
                <w:szCs w:val="24"/>
              </w:rPr>
              <w:t>12 317</w:t>
            </w:r>
          </w:p>
        </w:tc>
      </w:tr>
    </w:tbl>
    <w:p w14:paraId="62F828BA">
      <w:pPr>
        <w:spacing w:line="240" w:lineRule="auto"/>
        <w:rPr>
          <w:rFonts w:ascii="Times New Roman" w:hAnsi="Times New Roman"/>
          <w:sz w:val="24"/>
          <w:szCs w:val="24"/>
        </w:rPr>
      </w:pPr>
    </w:p>
    <w:p w14:paraId="623771C9"/>
    <w:p w14:paraId="468902D0"/>
    <w:p w14:paraId="66EE6CBD"/>
    <w:p w14:paraId="4D4B9F2B"/>
    <w:p w14:paraId="5456611F"/>
    <w:p w14:paraId="7B650666"/>
    <w:p w14:paraId="0F6F5AAA"/>
    <w:p w14:paraId="5FD03FE1">
      <w:pPr>
        <w:spacing w:line="240" w:lineRule="auto"/>
        <w:rPr>
          <w:rFonts w:ascii="Times New Roman" w:hAnsi="Times New Roman"/>
          <w:sz w:val="24"/>
          <w:szCs w:val="24"/>
        </w:rPr>
      </w:pPr>
    </w:p>
    <w:p w14:paraId="131867B4">
      <w:pPr>
        <w:spacing w:line="240" w:lineRule="auto"/>
        <w:rPr>
          <w:rFonts w:ascii="Times New Roman" w:hAnsi="Times New Roman"/>
          <w:sz w:val="24"/>
          <w:szCs w:val="24"/>
        </w:rPr>
      </w:pPr>
    </w:p>
    <w:p w14:paraId="50C86845">
      <w:pPr>
        <w:spacing w:line="240" w:lineRule="auto"/>
        <w:rPr>
          <w:rFonts w:ascii="Times New Roman" w:hAnsi="Times New Roman"/>
          <w:sz w:val="24"/>
          <w:szCs w:val="24"/>
        </w:rPr>
      </w:pPr>
    </w:p>
    <w:p w14:paraId="769CACA9">
      <w:pPr>
        <w:spacing w:line="240" w:lineRule="auto"/>
        <w:rPr>
          <w:rFonts w:ascii="Times New Roman" w:hAnsi="Times New Roman"/>
          <w:sz w:val="24"/>
          <w:szCs w:val="24"/>
        </w:rPr>
      </w:pPr>
    </w:p>
    <w:p w14:paraId="40D4ABCF">
      <w:pPr>
        <w:spacing w:line="240" w:lineRule="auto"/>
        <w:rPr>
          <w:rFonts w:ascii="Times New Roman" w:hAnsi="Times New Roman"/>
          <w:sz w:val="24"/>
          <w:szCs w:val="24"/>
        </w:rPr>
      </w:pPr>
    </w:p>
    <w:p w14:paraId="4BCBEF87">
      <w:pPr>
        <w:spacing w:line="240" w:lineRule="auto"/>
        <w:rPr>
          <w:rFonts w:ascii="Times New Roman" w:hAnsi="Times New Roman"/>
          <w:sz w:val="24"/>
          <w:szCs w:val="24"/>
        </w:rPr>
      </w:pPr>
      <w:bookmarkStart w:id="5" w:name="_GoBack"/>
      <w:bookmarkEnd w:id="5"/>
    </w:p>
    <w:p w14:paraId="05F6F143">
      <w:pPr>
        <w:spacing w:line="240" w:lineRule="auto"/>
        <w:rPr>
          <w:rFonts w:ascii="Times New Roman" w:hAnsi="Times New Roman"/>
          <w:sz w:val="24"/>
          <w:szCs w:val="24"/>
        </w:rPr>
      </w:pPr>
    </w:p>
    <w:p w14:paraId="2F5D2460">
      <w:pPr>
        <w:spacing w:line="240" w:lineRule="auto"/>
        <w:rPr>
          <w:rFonts w:ascii="Times New Roman" w:hAnsi="Times New Roman"/>
          <w:sz w:val="24"/>
          <w:szCs w:val="24"/>
        </w:rPr>
      </w:pPr>
      <w:r>
        <w:rPr>
          <w:rFonts w:ascii="Times New Roman" w:hAnsi="Times New Roman"/>
          <w:sz w:val="24"/>
          <w:szCs w:val="24"/>
        </w:rPr>
        <w:t xml:space="preserve">                                                                                       Приложение 2</w:t>
      </w:r>
    </w:p>
    <w:p w14:paraId="5F1FAFC0">
      <w:pPr>
        <w:spacing w:after="0" w:line="240" w:lineRule="auto"/>
        <w:ind w:left="5220"/>
        <w:rPr>
          <w:rFonts w:ascii="Times New Roman" w:hAnsi="Times New Roman"/>
          <w:sz w:val="24"/>
          <w:szCs w:val="24"/>
        </w:rPr>
      </w:pPr>
      <w:r>
        <w:rPr>
          <w:rFonts w:ascii="Times New Roman" w:hAnsi="Times New Roman"/>
          <w:sz w:val="24"/>
          <w:szCs w:val="24"/>
        </w:rPr>
        <w:t xml:space="preserve">к положению об оплате труда работников МКУК «КДЦ  Филипповского муниципального образования»  </w:t>
      </w:r>
    </w:p>
    <w:p w14:paraId="12548BE9">
      <w:pPr>
        <w:spacing w:line="240" w:lineRule="auto"/>
        <w:ind w:left="5220"/>
        <w:rPr>
          <w:rFonts w:ascii="Times New Roman" w:hAnsi="Times New Roman"/>
          <w:sz w:val="24"/>
          <w:szCs w:val="24"/>
        </w:rPr>
      </w:pPr>
    </w:p>
    <w:p w14:paraId="1EA3DA16">
      <w:pPr>
        <w:spacing w:line="240" w:lineRule="auto"/>
        <w:ind w:left="5220"/>
        <w:rPr>
          <w:rFonts w:ascii="Times New Roman" w:hAnsi="Times New Roman"/>
          <w:sz w:val="24"/>
          <w:szCs w:val="24"/>
        </w:rPr>
      </w:pPr>
    </w:p>
    <w:p w14:paraId="71738BE2">
      <w:pPr>
        <w:spacing w:line="240" w:lineRule="auto"/>
        <w:jc w:val="center"/>
        <w:rPr>
          <w:rFonts w:ascii="Times New Roman" w:hAnsi="Times New Roman"/>
          <w:b/>
          <w:sz w:val="24"/>
          <w:szCs w:val="24"/>
        </w:rPr>
      </w:pPr>
      <w:r>
        <w:rPr>
          <w:rFonts w:ascii="Times New Roman" w:hAnsi="Times New Roman"/>
          <w:b/>
          <w:sz w:val="24"/>
          <w:szCs w:val="24"/>
        </w:rPr>
        <w:t>Перечни должностей работников МКУК «КДЦ Филипповского МО», относимых к основному персоналу для расчета среднего размера оклада (должностного оклада) работников и определения должностного оклада руководителя</w:t>
      </w:r>
    </w:p>
    <w:p w14:paraId="78CE2C46">
      <w:pPr>
        <w:pStyle w:val="9"/>
        <w:shd w:val="clear" w:color="auto" w:fill="auto"/>
        <w:tabs>
          <w:tab w:val="center" w:pos="4734"/>
        </w:tabs>
        <w:spacing w:line="240" w:lineRule="auto"/>
        <w:ind w:right="370"/>
        <w:rPr>
          <w:sz w:val="24"/>
          <w:szCs w:val="24"/>
        </w:rPr>
      </w:pPr>
      <w:r>
        <w:rPr>
          <w:sz w:val="24"/>
          <w:szCs w:val="24"/>
        </w:rPr>
        <w:tab/>
      </w:r>
    </w:p>
    <w:p w14:paraId="6CAFB2D5">
      <w:pPr>
        <w:pStyle w:val="9"/>
        <w:shd w:val="clear" w:color="auto" w:fill="auto"/>
        <w:tabs>
          <w:tab w:val="center" w:pos="4734"/>
        </w:tabs>
        <w:spacing w:line="240" w:lineRule="auto"/>
        <w:ind w:right="370"/>
        <w:rPr>
          <w:b/>
          <w:sz w:val="24"/>
          <w:szCs w:val="24"/>
        </w:rPr>
      </w:pPr>
    </w:p>
    <w:p w14:paraId="0DFDEA64">
      <w:pPr>
        <w:pStyle w:val="9"/>
        <w:shd w:val="clear" w:color="auto" w:fill="auto"/>
        <w:spacing w:line="240" w:lineRule="auto"/>
        <w:ind w:left="200"/>
        <w:rPr>
          <w:b/>
          <w:sz w:val="24"/>
          <w:szCs w:val="24"/>
        </w:rPr>
      </w:pPr>
      <w:r>
        <w:rPr>
          <w:b/>
          <w:sz w:val="24"/>
          <w:szCs w:val="24"/>
          <w:lang w:val="en-US"/>
        </w:rPr>
        <w:t>I</w:t>
      </w:r>
      <w:r>
        <w:rPr>
          <w:b/>
          <w:sz w:val="24"/>
          <w:szCs w:val="24"/>
        </w:rPr>
        <w:t>. Перечень должностей работников библиотек,  учреждений клубного типа</w:t>
      </w:r>
    </w:p>
    <w:p w14:paraId="1EB9DEAC">
      <w:pPr>
        <w:pStyle w:val="9"/>
        <w:shd w:val="clear" w:color="auto" w:fill="auto"/>
        <w:spacing w:line="240" w:lineRule="auto"/>
        <w:ind w:left="200"/>
        <w:rPr>
          <w:b/>
          <w:sz w:val="24"/>
          <w:szCs w:val="24"/>
        </w:rPr>
      </w:pPr>
    </w:p>
    <w:p w14:paraId="3BD130BB">
      <w:pPr>
        <w:rPr>
          <w:rFonts w:ascii="Times New Roman" w:hAnsi="Times New Roman"/>
          <w:sz w:val="24"/>
          <w:szCs w:val="24"/>
        </w:rPr>
      </w:pPr>
      <w:r>
        <w:rPr>
          <w:rFonts w:ascii="Times New Roman" w:hAnsi="Times New Roman"/>
          <w:sz w:val="24"/>
          <w:szCs w:val="24"/>
        </w:rPr>
        <w:t>Аккомпаниатор</w:t>
      </w:r>
    </w:p>
    <w:p w14:paraId="256B8C84">
      <w:pPr>
        <w:rPr>
          <w:rFonts w:ascii="Times New Roman" w:hAnsi="Times New Roman"/>
          <w:sz w:val="24"/>
          <w:szCs w:val="24"/>
        </w:rPr>
      </w:pPr>
      <w:r>
        <w:rPr>
          <w:rFonts w:ascii="Times New Roman" w:hAnsi="Times New Roman"/>
          <w:sz w:val="24"/>
          <w:szCs w:val="24"/>
        </w:rPr>
        <w:t xml:space="preserve">Балетмейстер хореографического коллектива (студии), ансамбля песни и танца </w:t>
      </w:r>
    </w:p>
    <w:p w14:paraId="030C9A35">
      <w:pPr>
        <w:rPr>
          <w:rFonts w:ascii="Times New Roman" w:hAnsi="Times New Roman"/>
          <w:sz w:val="24"/>
          <w:szCs w:val="24"/>
        </w:rPr>
      </w:pPr>
      <w:r>
        <w:rPr>
          <w:rFonts w:ascii="Times New Roman" w:hAnsi="Times New Roman"/>
          <w:sz w:val="24"/>
          <w:szCs w:val="24"/>
        </w:rPr>
        <w:t>Звукооператор</w:t>
      </w:r>
    </w:p>
    <w:p w14:paraId="341D0BC4">
      <w:pPr>
        <w:rPr>
          <w:rFonts w:ascii="Times New Roman" w:hAnsi="Times New Roman"/>
          <w:sz w:val="24"/>
          <w:szCs w:val="24"/>
        </w:rPr>
      </w:pPr>
      <w:r>
        <w:rPr>
          <w:rFonts w:ascii="Times New Roman" w:hAnsi="Times New Roman"/>
          <w:sz w:val="24"/>
          <w:szCs w:val="24"/>
        </w:rPr>
        <w:t>Культорганизатор</w:t>
      </w:r>
    </w:p>
    <w:p w14:paraId="731608C0">
      <w:pPr>
        <w:rPr>
          <w:rFonts w:ascii="Times New Roman" w:hAnsi="Times New Roman"/>
          <w:sz w:val="24"/>
          <w:szCs w:val="24"/>
        </w:rPr>
      </w:pPr>
      <w:r>
        <w:rPr>
          <w:rFonts w:ascii="Times New Roman" w:hAnsi="Times New Roman"/>
          <w:sz w:val="24"/>
          <w:szCs w:val="24"/>
        </w:rPr>
        <w:t>Заведующий</w:t>
      </w:r>
    </w:p>
    <w:p w14:paraId="0900453B">
      <w:pPr>
        <w:rPr>
          <w:rFonts w:ascii="Times New Roman" w:hAnsi="Times New Roman"/>
          <w:sz w:val="24"/>
          <w:szCs w:val="24"/>
        </w:rPr>
      </w:pPr>
      <w:r>
        <w:rPr>
          <w:rFonts w:ascii="Times New Roman" w:hAnsi="Times New Roman"/>
          <w:sz w:val="24"/>
          <w:szCs w:val="24"/>
        </w:rPr>
        <w:t>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p w14:paraId="181F7FF8">
      <w:pPr>
        <w:rPr>
          <w:rFonts w:ascii="Times New Roman" w:hAnsi="Times New Roman"/>
          <w:sz w:val="24"/>
          <w:szCs w:val="24"/>
        </w:rPr>
      </w:pPr>
      <w:r>
        <w:rPr>
          <w:rFonts w:ascii="Times New Roman" w:hAnsi="Times New Roman"/>
          <w:sz w:val="24"/>
          <w:szCs w:val="24"/>
        </w:rPr>
        <w:t>Руководитель клубного формирования (любительского объединения, студии, коллектива самодеятельного искусства, клуба по интересам)</w:t>
      </w:r>
    </w:p>
    <w:p w14:paraId="6A0BF376">
      <w:pPr>
        <w:rPr>
          <w:rFonts w:ascii="Times New Roman" w:hAnsi="Times New Roman"/>
          <w:sz w:val="24"/>
          <w:szCs w:val="24"/>
        </w:rPr>
      </w:pPr>
      <w:r>
        <w:rPr>
          <w:rFonts w:ascii="Times New Roman" w:hAnsi="Times New Roman"/>
          <w:sz w:val="24"/>
          <w:szCs w:val="24"/>
        </w:rPr>
        <w:t xml:space="preserve">Руководитель кружка, любительского объединения, клуба по интересам </w:t>
      </w:r>
    </w:p>
    <w:p w14:paraId="5CD1C53C">
      <w:pPr>
        <w:rPr>
          <w:rFonts w:ascii="Times New Roman" w:hAnsi="Times New Roman"/>
          <w:sz w:val="24"/>
          <w:szCs w:val="24"/>
        </w:rPr>
      </w:pPr>
      <w:r>
        <w:rPr>
          <w:rFonts w:ascii="Times New Roman" w:hAnsi="Times New Roman"/>
          <w:sz w:val="24"/>
          <w:szCs w:val="24"/>
        </w:rPr>
        <w:t>Художественный руководитель</w:t>
      </w:r>
    </w:p>
    <w:p w14:paraId="3B382F69">
      <w:pPr>
        <w:spacing w:after="0" w:line="240" w:lineRule="auto"/>
        <w:ind w:left="284"/>
        <w:rPr>
          <w:rFonts w:ascii="Times New Roman" w:hAnsi="Times New Roman"/>
          <w:sz w:val="24"/>
          <w:szCs w:val="24"/>
        </w:rPr>
      </w:pPr>
      <w:r>
        <w:rPr>
          <w:rFonts w:ascii="Times New Roman" w:hAnsi="Times New Roman"/>
          <w:sz w:val="24"/>
          <w:szCs w:val="24"/>
        </w:rPr>
        <w:t xml:space="preserve"> </w:t>
      </w:r>
    </w:p>
    <w:p w14:paraId="52B9B9C4"/>
    <w:p w14:paraId="1EBF5634"/>
    <w:p w14:paraId="3BCF4970">
      <w:pPr>
        <w:spacing w:line="240" w:lineRule="auto"/>
        <w:rPr>
          <w:rFonts w:ascii="Times New Roman" w:hAnsi="Times New Roman"/>
          <w:sz w:val="24"/>
          <w:szCs w:val="24"/>
        </w:rPr>
      </w:pPr>
      <w:r>
        <w:rPr>
          <w:rFonts w:ascii="Times New Roman" w:hAnsi="Times New Roman"/>
          <w:sz w:val="24"/>
          <w:szCs w:val="24"/>
        </w:rPr>
        <w:t xml:space="preserve">                                                                                 </w:t>
      </w:r>
    </w:p>
    <w:p w14:paraId="335A85F7">
      <w:pPr>
        <w:spacing w:line="240" w:lineRule="auto"/>
        <w:rPr>
          <w:rFonts w:ascii="Times New Roman" w:hAnsi="Times New Roman"/>
          <w:sz w:val="24"/>
          <w:szCs w:val="24"/>
        </w:rPr>
      </w:pPr>
    </w:p>
    <w:p w14:paraId="7EA7A616">
      <w:pPr>
        <w:spacing w:line="240" w:lineRule="auto"/>
        <w:rPr>
          <w:rFonts w:ascii="Times New Roman" w:hAnsi="Times New Roman"/>
          <w:sz w:val="24"/>
          <w:szCs w:val="24"/>
        </w:rPr>
      </w:pPr>
    </w:p>
    <w:p w14:paraId="681790FC">
      <w:pPr>
        <w:spacing w:line="240" w:lineRule="auto"/>
        <w:rPr>
          <w:rFonts w:ascii="Times New Roman" w:hAnsi="Times New Roman"/>
          <w:sz w:val="24"/>
          <w:szCs w:val="24"/>
        </w:rPr>
      </w:pPr>
    </w:p>
    <w:p w14:paraId="1D05B335">
      <w:pPr>
        <w:spacing w:line="240" w:lineRule="auto"/>
        <w:rPr>
          <w:rFonts w:ascii="Times New Roman" w:hAnsi="Times New Roman"/>
          <w:sz w:val="24"/>
          <w:szCs w:val="24"/>
        </w:rPr>
      </w:pPr>
    </w:p>
    <w:p w14:paraId="7D5781DC">
      <w:pPr>
        <w:spacing w:line="240" w:lineRule="auto"/>
        <w:rPr>
          <w:rFonts w:ascii="Times New Roman" w:hAnsi="Times New Roman"/>
          <w:sz w:val="24"/>
          <w:szCs w:val="24"/>
        </w:rPr>
      </w:pPr>
    </w:p>
    <w:p w14:paraId="4E027102">
      <w:pPr>
        <w:spacing w:line="240" w:lineRule="auto"/>
        <w:rPr>
          <w:rFonts w:ascii="Times New Roman" w:hAnsi="Times New Roman"/>
          <w:sz w:val="24"/>
          <w:szCs w:val="24"/>
        </w:rPr>
      </w:pPr>
    </w:p>
    <w:p w14:paraId="2DB08627">
      <w:pPr>
        <w:spacing w:line="240" w:lineRule="auto"/>
        <w:rPr>
          <w:rFonts w:ascii="Times New Roman" w:hAnsi="Times New Roman"/>
          <w:sz w:val="24"/>
          <w:szCs w:val="24"/>
        </w:rPr>
      </w:pPr>
    </w:p>
    <w:p w14:paraId="353E252A">
      <w:r>
        <w:rPr>
          <w:rFonts w:ascii="Times New Roman" w:hAnsi="Times New Roman"/>
          <w:sz w:val="24"/>
          <w:szCs w:val="24"/>
        </w:rPr>
        <w:t xml:space="preserve"> </w:t>
      </w:r>
    </w:p>
    <w:p w14:paraId="7C5C61F9"/>
    <w:sectPr>
      <w:footerReference r:id="rId6" w:type="first"/>
      <w:footerReference r:id="rId5" w:type="default"/>
      <w:pgSz w:w="11905" w:h="16837"/>
      <w:pgMar w:top="709" w:right="848" w:bottom="567" w:left="1701" w:header="0" w:footer="6" w:gutter="0"/>
      <w:cols w:space="720" w:num="1"/>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Arial Unicode MS">
    <w:altName w:val="Arial"/>
    <w:panose1 w:val="020B0604020202020204"/>
    <w:charset w:val="00"/>
    <w:family w:val="roman"/>
    <w:pitch w:val="default"/>
    <w:sig w:usb0="00000000" w:usb1="00000000" w:usb2="00000000" w:usb3="00000000" w:csb0="00000001" w:csb1="00000000"/>
  </w:font>
  <w:font w:name="Segoe UI">
    <w:panose1 w:val="020B0502040204020203"/>
    <w:charset w:val="CC"/>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9479767"/>
      <w:docPartObj>
        <w:docPartGallery w:val="AutoText"/>
      </w:docPartObj>
    </w:sdtPr>
    <w:sdtContent>
      <w:p w14:paraId="1DA646B0">
        <w:pPr>
          <w:pStyle w:val="10"/>
          <w:jc w:val="center"/>
        </w:pPr>
        <w:r>
          <w:fldChar w:fldCharType="begin"/>
        </w:r>
        <w:r>
          <w:instrText xml:space="preserve">PAGE   \* MERGEFORMAT</w:instrText>
        </w:r>
        <w:r>
          <w:fldChar w:fldCharType="separate"/>
        </w:r>
        <w:r>
          <w:t>13</w:t>
        </w:r>
        <w:r>
          <w:fldChar w:fldCharType="end"/>
        </w:r>
      </w:p>
    </w:sdtContent>
  </w:sdt>
  <w:p w14:paraId="6D4FFE2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48CBA">
    <w:pPr>
      <w:pStyle w:val="10"/>
      <w:jc w:val="center"/>
    </w:pPr>
  </w:p>
  <w:p w14:paraId="6C4E2046">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BC04E4"/>
    <w:rsid w:val="00035CC0"/>
    <w:rsid w:val="0006396C"/>
    <w:rsid w:val="000F4CED"/>
    <w:rsid w:val="00174451"/>
    <w:rsid w:val="001A023F"/>
    <w:rsid w:val="001A3C40"/>
    <w:rsid w:val="001B19E8"/>
    <w:rsid w:val="001C4570"/>
    <w:rsid w:val="001E5970"/>
    <w:rsid w:val="00245125"/>
    <w:rsid w:val="00254403"/>
    <w:rsid w:val="0025575D"/>
    <w:rsid w:val="00342BDA"/>
    <w:rsid w:val="003A4332"/>
    <w:rsid w:val="003B6E4A"/>
    <w:rsid w:val="004D73AA"/>
    <w:rsid w:val="004E3869"/>
    <w:rsid w:val="004F3CEE"/>
    <w:rsid w:val="0054163D"/>
    <w:rsid w:val="0055372E"/>
    <w:rsid w:val="00561D35"/>
    <w:rsid w:val="005625C5"/>
    <w:rsid w:val="005825B0"/>
    <w:rsid w:val="00594DE7"/>
    <w:rsid w:val="005D3A21"/>
    <w:rsid w:val="006363E1"/>
    <w:rsid w:val="006835EE"/>
    <w:rsid w:val="0069149E"/>
    <w:rsid w:val="006A491D"/>
    <w:rsid w:val="006B150E"/>
    <w:rsid w:val="006D7BFC"/>
    <w:rsid w:val="00754FBC"/>
    <w:rsid w:val="007834D4"/>
    <w:rsid w:val="007948FC"/>
    <w:rsid w:val="00794E86"/>
    <w:rsid w:val="007F599C"/>
    <w:rsid w:val="008B334A"/>
    <w:rsid w:val="008C5501"/>
    <w:rsid w:val="009C561C"/>
    <w:rsid w:val="00A204A3"/>
    <w:rsid w:val="00A46E24"/>
    <w:rsid w:val="00A62986"/>
    <w:rsid w:val="00A713A6"/>
    <w:rsid w:val="00AB1D6F"/>
    <w:rsid w:val="00AD281D"/>
    <w:rsid w:val="00BB1D86"/>
    <w:rsid w:val="00BC04E4"/>
    <w:rsid w:val="00C03865"/>
    <w:rsid w:val="00C9681B"/>
    <w:rsid w:val="00D74516"/>
    <w:rsid w:val="00D91FFB"/>
    <w:rsid w:val="00D93BD6"/>
    <w:rsid w:val="00DB6249"/>
    <w:rsid w:val="00E85B03"/>
    <w:rsid w:val="00EF06C9"/>
    <w:rsid w:val="00F23413"/>
    <w:rsid w:val="00F7032C"/>
    <w:rsid w:val="00FA5893"/>
    <w:rsid w:val="42026560"/>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semiHidden="0" w:name="No Spacing"/>
    <w:lsdException w:qFormat="1" w:unhideWhenUsed="0" w:uiPriority="99" w:semiHidden="0" w:name="List Paragraph"/>
  </w:latentStyles>
  <w:style w:type="paragraph" w:default="1" w:styleId="1">
    <w:name w:val="Normal"/>
    <w:qFormat/>
    <w:uiPriority w:val="0"/>
    <w:pPr>
      <w:spacing w:after="200" w:line="276" w:lineRule="auto"/>
    </w:pPr>
    <w:rPr>
      <w:rFonts w:ascii="Calibri" w:hAnsi="Calibri" w:eastAsia="Times New Roman" w:cs="Times New Roman"/>
      <w:sz w:val="22"/>
      <w:szCs w:val="22"/>
      <w:lang w:val="ru-RU" w:eastAsia="ru-RU" w:bidi="ar-SA"/>
    </w:rPr>
  </w:style>
  <w:style w:type="paragraph" w:styleId="2">
    <w:name w:val="heading 3"/>
    <w:basedOn w:val="1"/>
    <w:next w:val="1"/>
    <w:link w:val="12"/>
    <w:qFormat/>
    <w:uiPriority w:val="0"/>
    <w:pPr>
      <w:keepNext/>
      <w:overflowPunct w:val="0"/>
      <w:autoSpaceDE w:val="0"/>
      <w:autoSpaceDN w:val="0"/>
      <w:adjustRightInd w:val="0"/>
      <w:spacing w:before="240" w:after="60" w:line="240" w:lineRule="auto"/>
      <w:outlineLvl w:val="2"/>
    </w:pPr>
    <w:rPr>
      <w:rFonts w:ascii="Arial" w:hAnsi="Arial" w:cs="Arial"/>
      <w:b/>
      <w:bCs/>
      <w:sz w:val="26"/>
      <w:szCs w:val="26"/>
    </w:rPr>
  </w:style>
  <w:style w:type="paragraph" w:styleId="3">
    <w:name w:val="heading 4"/>
    <w:basedOn w:val="1"/>
    <w:next w:val="1"/>
    <w:link w:val="13"/>
    <w:qFormat/>
    <w:uiPriority w:val="0"/>
    <w:pPr>
      <w:keepNext/>
      <w:overflowPunct w:val="0"/>
      <w:autoSpaceDE w:val="0"/>
      <w:autoSpaceDN w:val="0"/>
      <w:adjustRightInd w:val="0"/>
      <w:spacing w:before="240" w:after="60" w:line="240" w:lineRule="auto"/>
      <w:outlineLvl w:val="3"/>
    </w:pPr>
    <w:rPr>
      <w:rFonts w:ascii="Times New Roman" w:hAnsi="Times New Roman"/>
      <w:b/>
      <w:bCs/>
      <w:sz w:val="28"/>
      <w:szCs w:val="28"/>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qFormat/>
    <w:uiPriority w:val="99"/>
    <w:rPr>
      <w:rFonts w:cs="Times New Roman"/>
      <w:color w:val="0000FF"/>
      <w:u w:val="single"/>
    </w:rPr>
  </w:style>
  <w:style w:type="paragraph" w:styleId="7">
    <w:name w:val="Balloon Text"/>
    <w:basedOn w:val="1"/>
    <w:link w:val="31"/>
    <w:semiHidden/>
    <w:unhideWhenUsed/>
    <w:qFormat/>
    <w:uiPriority w:val="99"/>
    <w:pPr>
      <w:spacing w:after="0" w:line="240" w:lineRule="auto"/>
    </w:pPr>
    <w:rPr>
      <w:rFonts w:ascii="Segoe UI" w:hAnsi="Segoe UI" w:cs="Segoe UI"/>
      <w:sz w:val="18"/>
      <w:szCs w:val="18"/>
    </w:rPr>
  </w:style>
  <w:style w:type="paragraph" w:styleId="8">
    <w:name w:val="header"/>
    <w:basedOn w:val="1"/>
    <w:link w:val="32"/>
    <w:unhideWhenUsed/>
    <w:qFormat/>
    <w:uiPriority w:val="99"/>
    <w:pPr>
      <w:tabs>
        <w:tab w:val="center" w:pos="4677"/>
        <w:tab w:val="right" w:pos="9355"/>
      </w:tabs>
      <w:spacing w:after="0" w:line="240" w:lineRule="auto"/>
    </w:pPr>
  </w:style>
  <w:style w:type="paragraph" w:styleId="9">
    <w:name w:val="Body Text"/>
    <w:basedOn w:val="1"/>
    <w:link w:val="16"/>
    <w:qFormat/>
    <w:uiPriority w:val="99"/>
    <w:pPr>
      <w:shd w:val="clear" w:color="auto" w:fill="FFFFFF"/>
      <w:spacing w:after="0" w:line="442" w:lineRule="exact"/>
      <w:jc w:val="center"/>
    </w:pPr>
    <w:rPr>
      <w:rFonts w:ascii="Times New Roman" w:hAnsi="Times New Roman" w:eastAsia="Arial Unicode MS"/>
      <w:sz w:val="27"/>
      <w:szCs w:val="27"/>
    </w:rPr>
  </w:style>
  <w:style w:type="paragraph" w:styleId="10">
    <w:name w:val="footer"/>
    <w:basedOn w:val="1"/>
    <w:link w:val="28"/>
    <w:qFormat/>
    <w:uiPriority w:val="99"/>
    <w:pPr>
      <w:tabs>
        <w:tab w:val="center" w:pos="4677"/>
        <w:tab w:val="right" w:pos="9355"/>
      </w:tabs>
      <w:spacing w:after="0" w:line="240" w:lineRule="auto"/>
    </w:pPr>
  </w:style>
  <w:style w:type="table" w:styleId="11">
    <w:name w:val="Table Grid"/>
    <w:basedOn w:val="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2">
    <w:name w:val="Заголовок 3 Знак"/>
    <w:basedOn w:val="4"/>
    <w:link w:val="2"/>
    <w:qFormat/>
    <w:uiPriority w:val="0"/>
    <w:rPr>
      <w:rFonts w:ascii="Arial" w:hAnsi="Arial" w:eastAsia="Times New Roman" w:cs="Arial"/>
      <w:b/>
      <w:bCs/>
      <w:sz w:val="26"/>
      <w:szCs w:val="26"/>
      <w:lang w:eastAsia="ru-RU"/>
    </w:rPr>
  </w:style>
  <w:style w:type="character" w:customStyle="1" w:styleId="13">
    <w:name w:val="Заголовок 4 Знак"/>
    <w:basedOn w:val="4"/>
    <w:link w:val="3"/>
    <w:qFormat/>
    <w:uiPriority w:val="0"/>
    <w:rPr>
      <w:rFonts w:ascii="Times New Roman" w:hAnsi="Times New Roman" w:eastAsia="Times New Roman" w:cs="Times New Roman"/>
      <w:b/>
      <w:bCs/>
      <w:sz w:val="28"/>
      <w:szCs w:val="28"/>
      <w:lang w:eastAsia="ru-RU"/>
    </w:rPr>
  </w:style>
  <w:style w:type="character" w:customStyle="1" w:styleId="14">
    <w:name w:val="Основной текст Знак1"/>
    <w:basedOn w:val="4"/>
    <w:link w:val="15"/>
    <w:qFormat/>
    <w:locked/>
    <w:uiPriority w:val="99"/>
    <w:rPr>
      <w:rFonts w:ascii="Times New Roman" w:hAnsi="Times New Roman" w:cs="Times New Roman"/>
      <w:b/>
      <w:bCs/>
      <w:sz w:val="27"/>
      <w:szCs w:val="27"/>
      <w:shd w:val="clear" w:color="auto" w:fill="FFFFFF"/>
    </w:rPr>
  </w:style>
  <w:style w:type="paragraph" w:customStyle="1" w:styleId="15">
    <w:name w:val="Заголовок №21"/>
    <w:basedOn w:val="1"/>
    <w:link w:val="14"/>
    <w:qFormat/>
    <w:uiPriority w:val="99"/>
    <w:pPr>
      <w:shd w:val="clear" w:color="auto" w:fill="FFFFFF"/>
      <w:spacing w:after="0" w:line="442" w:lineRule="exact"/>
      <w:outlineLvl w:val="1"/>
    </w:pPr>
    <w:rPr>
      <w:rFonts w:ascii="Times New Roman" w:hAnsi="Times New Roman" w:eastAsiaTheme="minorHAnsi"/>
      <w:b/>
      <w:bCs/>
      <w:sz w:val="27"/>
      <w:szCs w:val="27"/>
      <w:lang w:eastAsia="en-US"/>
    </w:rPr>
  </w:style>
  <w:style w:type="character" w:customStyle="1" w:styleId="16">
    <w:name w:val="Основной текст Знак"/>
    <w:basedOn w:val="4"/>
    <w:link w:val="9"/>
    <w:qFormat/>
    <w:uiPriority w:val="99"/>
    <w:rPr>
      <w:rFonts w:ascii="Times New Roman" w:hAnsi="Times New Roman" w:eastAsia="Arial Unicode MS" w:cs="Times New Roman"/>
      <w:sz w:val="27"/>
      <w:szCs w:val="27"/>
      <w:shd w:val="clear" w:color="auto" w:fill="FFFFFF"/>
      <w:lang w:eastAsia="ru-RU"/>
    </w:rPr>
  </w:style>
  <w:style w:type="character" w:customStyle="1" w:styleId="17">
    <w:name w:val="Заголовок №28"/>
    <w:basedOn w:val="14"/>
    <w:qFormat/>
    <w:uiPriority w:val="99"/>
    <w:rPr>
      <w:rFonts w:ascii="Times New Roman" w:hAnsi="Times New Roman" w:cs="Times New Roman"/>
      <w:sz w:val="27"/>
      <w:szCs w:val="27"/>
      <w:shd w:val="clear" w:color="auto" w:fill="FFFFFF"/>
    </w:rPr>
  </w:style>
  <w:style w:type="character" w:customStyle="1" w:styleId="18">
    <w:name w:val="Основной текст (4)_"/>
    <w:basedOn w:val="4"/>
    <w:link w:val="19"/>
    <w:qFormat/>
    <w:locked/>
    <w:uiPriority w:val="99"/>
    <w:rPr>
      <w:rFonts w:ascii="Times New Roman" w:hAnsi="Times New Roman" w:cs="Times New Roman"/>
      <w:b/>
      <w:bCs/>
      <w:sz w:val="27"/>
      <w:szCs w:val="27"/>
      <w:shd w:val="clear" w:color="auto" w:fill="FFFFFF"/>
    </w:rPr>
  </w:style>
  <w:style w:type="paragraph" w:customStyle="1" w:styleId="19">
    <w:name w:val="Основной текст (4)1"/>
    <w:basedOn w:val="1"/>
    <w:link w:val="18"/>
    <w:qFormat/>
    <w:uiPriority w:val="99"/>
    <w:pPr>
      <w:shd w:val="clear" w:color="auto" w:fill="FFFFFF"/>
      <w:spacing w:after="0" w:line="331" w:lineRule="exact"/>
      <w:ind w:firstLine="540"/>
      <w:jc w:val="both"/>
    </w:pPr>
    <w:rPr>
      <w:rFonts w:ascii="Times New Roman" w:hAnsi="Times New Roman" w:eastAsiaTheme="minorHAnsi"/>
      <w:b/>
      <w:bCs/>
      <w:sz w:val="27"/>
      <w:szCs w:val="27"/>
      <w:lang w:eastAsia="en-US"/>
    </w:rPr>
  </w:style>
  <w:style w:type="character" w:customStyle="1" w:styleId="20">
    <w:name w:val="Основной текст (4)"/>
    <w:basedOn w:val="18"/>
    <w:qFormat/>
    <w:uiPriority w:val="99"/>
    <w:rPr>
      <w:rFonts w:ascii="Times New Roman" w:hAnsi="Times New Roman" w:cs="Times New Roman"/>
      <w:sz w:val="27"/>
      <w:szCs w:val="27"/>
      <w:shd w:val="clear" w:color="auto" w:fill="FFFFFF"/>
    </w:rPr>
  </w:style>
  <w:style w:type="character" w:customStyle="1" w:styleId="21">
    <w:name w:val="Заголовок №26"/>
    <w:basedOn w:val="14"/>
    <w:qFormat/>
    <w:uiPriority w:val="99"/>
    <w:rPr>
      <w:rFonts w:ascii="Times New Roman" w:hAnsi="Times New Roman" w:cs="Times New Roman"/>
      <w:sz w:val="27"/>
      <w:szCs w:val="27"/>
      <w:shd w:val="clear" w:color="auto" w:fill="FFFFFF"/>
    </w:rPr>
  </w:style>
  <w:style w:type="character" w:customStyle="1" w:styleId="22">
    <w:name w:val="Заголовок №25"/>
    <w:basedOn w:val="14"/>
    <w:qFormat/>
    <w:uiPriority w:val="99"/>
    <w:rPr>
      <w:rFonts w:ascii="Times New Roman" w:hAnsi="Times New Roman" w:cs="Times New Roman"/>
      <w:sz w:val="27"/>
      <w:szCs w:val="27"/>
      <w:shd w:val="clear" w:color="auto" w:fill="FFFFFF"/>
    </w:rPr>
  </w:style>
  <w:style w:type="character" w:customStyle="1" w:styleId="23">
    <w:name w:val="Заголовок №1_"/>
    <w:basedOn w:val="4"/>
    <w:link w:val="24"/>
    <w:qFormat/>
    <w:locked/>
    <w:uiPriority w:val="99"/>
    <w:rPr>
      <w:rFonts w:ascii="Times New Roman" w:hAnsi="Times New Roman" w:cs="Times New Roman"/>
      <w:sz w:val="28"/>
      <w:szCs w:val="28"/>
      <w:shd w:val="clear" w:color="auto" w:fill="FFFFFF"/>
    </w:rPr>
  </w:style>
  <w:style w:type="paragraph" w:customStyle="1" w:styleId="24">
    <w:name w:val="Заголовок №11"/>
    <w:basedOn w:val="1"/>
    <w:link w:val="23"/>
    <w:qFormat/>
    <w:uiPriority w:val="99"/>
    <w:pPr>
      <w:shd w:val="clear" w:color="auto" w:fill="FFFFFF"/>
      <w:spacing w:before="240" w:after="360" w:line="240" w:lineRule="atLeast"/>
      <w:outlineLvl w:val="0"/>
    </w:pPr>
    <w:rPr>
      <w:rFonts w:ascii="Times New Roman" w:hAnsi="Times New Roman" w:eastAsiaTheme="minorHAnsi"/>
      <w:sz w:val="28"/>
      <w:szCs w:val="28"/>
      <w:lang w:eastAsia="en-US"/>
    </w:rPr>
  </w:style>
  <w:style w:type="character" w:customStyle="1" w:styleId="25">
    <w:name w:val="Заголовок №1"/>
    <w:basedOn w:val="23"/>
    <w:qFormat/>
    <w:uiPriority w:val="99"/>
    <w:rPr>
      <w:rFonts w:ascii="Times New Roman" w:hAnsi="Times New Roman" w:cs="Times New Roman"/>
      <w:sz w:val="28"/>
      <w:szCs w:val="28"/>
      <w:shd w:val="clear" w:color="auto" w:fill="FFFFFF"/>
    </w:rPr>
  </w:style>
  <w:style w:type="paragraph" w:customStyle="1" w:styleId="26">
    <w:name w:val="ConsPlusTitle"/>
    <w:qFormat/>
    <w:uiPriority w:val="99"/>
    <w:pPr>
      <w:widowControl w:val="0"/>
      <w:autoSpaceDE w:val="0"/>
      <w:autoSpaceDN w:val="0"/>
      <w:adjustRightInd w:val="0"/>
      <w:spacing w:after="0" w:line="240" w:lineRule="auto"/>
    </w:pPr>
    <w:rPr>
      <w:rFonts w:ascii="Calibri" w:hAnsi="Calibri" w:eastAsia="Times New Roman" w:cs="Calibri"/>
      <w:b/>
      <w:bCs/>
      <w:sz w:val="22"/>
      <w:szCs w:val="22"/>
      <w:lang w:val="ru-RU" w:eastAsia="ru-RU" w:bidi="ar-SA"/>
    </w:rPr>
  </w:style>
  <w:style w:type="paragraph" w:styleId="27">
    <w:name w:val="List Paragraph"/>
    <w:basedOn w:val="1"/>
    <w:qFormat/>
    <w:uiPriority w:val="99"/>
    <w:pPr>
      <w:ind w:left="720"/>
      <w:contextualSpacing/>
    </w:pPr>
  </w:style>
  <w:style w:type="character" w:customStyle="1" w:styleId="28">
    <w:name w:val="Нижний колонтитул Знак"/>
    <w:basedOn w:val="4"/>
    <w:link w:val="10"/>
    <w:qFormat/>
    <w:uiPriority w:val="99"/>
    <w:rPr>
      <w:rFonts w:ascii="Calibri" w:hAnsi="Calibri" w:eastAsia="Times New Roman" w:cs="Times New Roman"/>
      <w:lang w:eastAsia="ru-RU"/>
    </w:rPr>
  </w:style>
  <w:style w:type="paragraph" w:styleId="29">
    <w:name w:val="No Spacing"/>
    <w:link w:val="30"/>
    <w:qFormat/>
    <w:uiPriority w:val="99"/>
    <w:pPr>
      <w:spacing w:after="0" w:line="240" w:lineRule="auto"/>
    </w:pPr>
    <w:rPr>
      <w:rFonts w:ascii="Times New Roman" w:hAnsi="Times New Roman" w:eastAsia="Times New Roman" w:cs="Times New Roman"/>
      <w:sz w:val="22"/>
      <w:szCs w:val="22"/>
      <w:lang w:val="ru-RU" w:eastAsia="en-US" w:bidi="ar-SA"/>
    </w:rPr>
  </w:style>
  <w:style w:type="character" w:customStyle="1" w:styleId="30">
    <w:name w:val="Без интервала Знак"/>
    <w:basedOn w:val="4"/>
    <w:link w:val="29"/>
    <w:qFormat/>
    <w:locked/>
    <w:uiPriority w:val="99"/>
    <w:rPr>
      <w:rFonts w:ascii="Times New Roman" w:hAnsi="Times New Roman" w:eastAsia="Times New Roman" w:cs="Times New Roman"/>
    </w:rPr>
  </w:style>
  <w:style w:type="character" w:customStyle="1" w:styleId="31">
    <w:name w:val="Текст выноски Знак"/>
    <w:basedOn w:val="4"/>
    <w:link w:val="7"/>
    <w:semiHidden/>
    <w:qFormat/>
    <w:uiPriority w:val="99"/>
    <w:rPr>
      <w:rFonts w:ascii="Segoe UI" w:hAnsi="Segoe UI" w:eastAsia="Times New Roman" w:cs="Segoe UI"/>
      <w:sz w:val="18"/>
      <w:szCs w:val="18"/>
      <w:lang w:eastAsia="ru-RU"/>
    </w:rPr>
  </w:style>
  <w:style w:type="character" w:customStyle="1" w:styleId="32">
    <w:name w:val="Верхний колонтитул Знак"/>
    <w:basedOn w:val="4"/>
    <w:link w:val="8"/>
    <w:qFormat/>
    <w:uiPriority w:val="99"/>
    <w:rPr>
      <w:rFonts w:ascii="Calibri" w:hAnsi="Calibri" w:eastAsia="Times New Roman" w:cs="Times New Roman"/>
      <w:lang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16</Pages>
  <Words>6920</Words>
  <Characters>39449</Characters>
  <Lines>328</Lines>
  <Paragraphs>92</Paragraphs>
  <TotalTime>512</TotalTime>
  <ScaleCrop>false</ScaleCrop>
  <LinksUpToDate>false</LinksUpToDate>
  <CharactersWithSpaces>46277</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2019-05-27T08:51:00Z</dcterms:created>
  <dc:creator>Пользователь Windows</dc:creator>
  <cp:lastModifiedBy>Hi</cp:lastModifiedBy>
  <cp:lastPrinted>2024-04-09T04:56:00Z</cp:lastPrinted>
  <dcterms:modified xsi:type="dcterms:W3CDTF">2025-09-19T07:51:04Z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1F6436BCD2AE474FB77735D8EC87CD27_12</vt:lpwstr>
  </property>
</Properties>
</file>